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D641D5" w:rsidRDefault="00D72ED9" w:rsidP="00D641D5">
      <w:pPr>
        <w:tabs>
          <w:tab w:val="left" w:pos="651"/>
        </w:tabs>
        <w:spacing w:after="0"/>
        <w:ind w:left="84"/>
        <w:rPr>
          <w:rFonts w:ascii="David" w:hAnsi="David" w:cs="David"/>
          <w:b/>
          <w:bCs/>
          <w:rtl/>
        </w:rPr>
      </w:pPr>
      <w:r w:rsidRPr="00D72ED9">
        <w:rPr>
          <w:rFonts w:ascii="David" w:hAnsi="David" w:cs="David"/>
          <w:b/>
          <w:bCs/>
          <w:rtl/>
        </w:rPr>
        <w:t>בבית הדין האזורי לעבודה בירושלים</w:t>
      </w:r>
      <w:r w:rsidRPr="00D72ED9">
        <w:rPr>
          <w:rFonts w:ascii="David" w:hAnsi="David" w:cs="David"/>
          <w:b/>
          <w:bCs/>
          <w:rtl/>
        </w:rPr>
        <w:tab/>
        <w:t xml:space="preserve">                                </w:t>
      </w:r>
      <w:r w:rsidRPr="00D72ED9">
        <w:rPr>
          <w:rFonts w:ascii="David" w:hAnsi="David" w:cs="David"/>
          <w:b/>
          <w:bCs/>
          <w:rtl/>
        </w:rPr>
        <w:tab/>
        <w:t xml:space="preserve">            </w:t>
      </w:r>
      <w:r w:rsidRPr="00D72ED9">
        <w:rPr>
          <w:rFonts w:ascii="David" w:hAnsi="David" w:cs="David"/>
          <w:b/>
          <w:bCs/>
          <w:rtl/>
        </w:rPr>
        <w:tab/>
        <w:t>סע</w:t>
      </w:r>
      <w:r>
        <w:rPr>
          <w:rFonts w:ascii="David" w:hAnsi="David" w:cs="David" w:hint="cs"/>
          <w:b/>
          <w:bCs/>
          <w:rtl/>
        </w:rPr>
        <w:t>"ש</w:t>
      </w:r>
      <w:r w:rsidRPr="00D72ED9">
        <w:rPr>
          <w:rFonts w:ascii="David" w:hAnsi="David" w:cs="David"/>
          <w:b/>
          <w:bCs/>
          <w:rtl/>
        </w:rPr>
        <w:t xml:space="preserve"> </w:t>
      </w:r>
      <w:r>
        <w:rPr>
          <w:rFonts w:ascii="David" w:hAnsi="David" w:cs="David" w:hint="cs"/>
          <w:b/>
          <w:bCs/>
          <w:rtl/>
        </w:rPr>
        <w:t>6928-10-1</w:t>
      </w:r>
      <w:r w:rsidRPr="00D72ED9">
        <w:rPr>
          <w:rFonts w:ascii="David" w:hAnsi="David" w:cs="David"/>
          <w:b/>
          <w:bCs/>
          <w:sz w:val="26"/>
          <w:szCs w:val="26"/>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1B3E87E6"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שמעון הכסטר</w:t>
      </w:r>
      <w:r w:rsidRPr="009B5E2F">
        <w:rPr>
          <w:rFonts w:ascii="David" w:hAnsi="David" w:cs="David"/>
          <w:b/>
          <w:bCs/>
          <w:sz w:val="24"/>
          <w:szCs w:val="24"/>
          <w:rtl/>
        </w:rPr>
        <w:t xml:space="preserve">, ת.ז. </w:t>
      </w:r>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ע"י ב"כ עו"ד יעקב חסדאי</w:t>
      </w:r>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8"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54EB4408"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פרקליטות המדינה</w:t>
      </w:r>
    </w:p>
    <w:p w14:paraId="6DA911E5" w14:textId="35994AA8"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B6EC308"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r w:rsidR="0017773A">
        <w:rPr>
          <w:rFonts w:ascii="David" w:hAnsi="David" w:cs="David" w:hint="cs"/>
          <w:b/>
          <w:bCs/>
          <w:sz w:val="24"/>
          <w:szCs w:val="24"/>
          <w:u w:val="single"/>
          <w:rtl/>
        </w:rPr>
        <w:t xml:space="preserve"> </w:t>
      </w:r>
    </w:p>
    <w:p w14:paraId="72F704B3" w14:textId="45627EF5" w:rsidR="00D72ED9" w:rsidRPr="009B5E2F" w:rsidRDefault="00D72ED9" w:rsidP="0017773A">
      <w:pPr>
        <w:tabs>
          <w:tab w:val="left" w:pos="3486"/>
        </w:tabs>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17773A" w:rsidRPr="0017773A">
        <w:rPr>
          <w:rFonts w:ascii="David" w:hAnsi="David" w:cs="David" w:hint="cs"/>
          <w:color w:val="984806" w:themeColor="accent6" w:themeShade="80"/>
          <w:sz w:val="24"/>
          <w:szCs w:val="24"/>
          <w:highlight w:val="green"/>
          <w:rtl/>
        </w:rPr>
        <w:t>מתוקנת?</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תיקון חישוב זכויות גימלה לתשלום הפרשים ולתשלום פיצויים.</w:t>
      </w:r>
    </w:p>
    <w:p w14:paraId="55DBE746" w14:textId="717C5EB5"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78B17543" w:rsidR="00D72ED9" w:rsidRPr="0017773A" w:rsidRDefault="00D72ED9" w:rsidP="0017773A">
      <w:pPr>
        <w:pStyle w:val="a3"/>
        <w:spacing w:after="0" w:line="360" w:lineRule="auto"/>
        <w:ind w:left="84"/>
        <w:rPr>
          <w:rFonts w:ascii="David" w:hAnsi="David" w:cs="David"/>
          <w:color w:val="984806" w:themeColor="accent6" w:themeShade="80"/>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r w:rsidR="0017773A" w:rsidRPr="0017773A">
        <w:rPr>
          <w:rFonts w:ascii="David" w:hAnsi="David" w:cs="David" w:hint="cs"/>
          <w:color w:val="984806" w:themeColor="accent6" w:themeShade="80"/>
          <w:sz w:val="24"/>
          <w:szCs w:val="24"/>
          <w:highlight w:val="green"/>
          <w:rtl/>
        </w:rPr>
        <w:t>כבר שולמה ביתר</w:t>
      </w:r>
      <w:r w:rsidR="0017773A">
        <w:rPr>
          <w:rFonts w:ascii="David" w:hAnsi="David" w:cs="David" w:hint="cs"/>
          <w:color w:val="984806" w:themeColor="accent6" w:themeShade="80"/>
          <w:sz w:val="24"/>
          <w:szCs w:val="24"/>
          <w:rtl/>
        </w:rPr>
        <w:t>?</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ע"ע 2514-07-20 הכסטר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7D4A1283"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התובע הוא גימלאי של שירות המדינה שפרש לאחר 42</w:t>
      </w:r>
      <w:r w:rsidR="0017773A" w:rsidRPr="0017773A">
        <w:rPr>
          <w:rFonts w:ascii="David" w:hAnsi="David" w:cs="David" w:hint="cs"/>
          <w:sz w:val="24"/>
          <w:szCs w:val="24"/>
          <w:highlight w:val="green"/>
          <w:rtl/>
        </w:rPr>
        <w:t>.66</w:t>
      </w:r>
      <w:r w:rsidRPr="009B5E2F">
        <w:rPr>
          <w:rFonts w:ascii="David" w:hAnsi="David" w:cs="David" w:hint="cs"/>
          <w:sz w:val="24"/>
          <w:szCs w:val="24"/>
          <w:rtl/>
        </w:rPr>
        <w:t xml:space="preserve"> שנות שירות </w:t>
      </w:r>
      <w:r w:rsidR="0017773A" w:rsidRPr="0017773A">
        <w:rPr>
          <w:rFonts w:ascii="David" w:hAnsi="David" w:cs="David" w:hint="cs"/>
          <w:color w:val="984806" w:themeColor="accent6" w:themeShade="80"/>
          <w:sz w:val="24"/>
          <w:szCs w:val="24"/>
          <w:highlight w:val="green"/>
          <w:rtl/>
        </w:rPr>
        <w:t>רובם</w:t>
      </w:r>
      <w:r w:rsidR="0017773A">
        <w:rPr>
          <w:rFonts w:ascii="David" w:hAnsi="David" w:cs="David" w:hint="cs"/>
          <w:sz w:val="24"/>
          <w:szCs w:val="24"/>
          <w:rtl/>
        </w:rPr>
        <w:t xml:space="preserve"> </w:t>
      </w:r>
      <w:r w:rsidRPr="009B5E2F">
        <w:rPr>
          <w:rFonts w:ascii="David" w:hAnsi="David" w:cs="David" w:hint="cs"/>
          <w:sz w:val="24"/>
          <w:szCs w:val="24"/>
          <w:rtl/>
        </w:rPr>
        <w:t>בתפקיד חשב בכיר.</w:t>
      </w:r>
    </w:p>
    <w:p w14:paraId="1DD6CDE3" w14:textId="6C7D5879"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w:t>
      </w:r>
      <w:r w:rsidR="0017773A" w:rsidRPr="0017773A">
        <w:rPr>
          <w:rFonts w:ascii="David" w:hAnsi="David" w:cs="David" w:hint="cs"/>
          <w:color w:val="984806" w:themeColor="accent6" w:themeShade="80"/>
          <w:sz w:val="24"/>
          <w:szCs w:val="24"/>
          <w:highlight w:val="green"/>
          <w:rtl/>
        </w:rPr>
        <w:t>משרד האוצר</w:t>
      </w:r>
      <w:r w:rsidRPr="0017773A">
        <w:rPr>
          <w:rFonts w:ascii="David" w:hAnsi="David" w:cs="David" w:hint="cs"/>
          <w:color w:val="984806" w:themeColor="accent6" w:themeShade="80"/>
          <w:sz w:val="24"/>
          <w:szCs w:val="24"/>
          <w:rtl/>
        </w:rPr>
        <w:t xml:space="preserve"> </w:t>
      </w:r>
      <w:r w:rsidRPr="009B5E2F">
        <w:rPr>
          <w:rFonts w:ascii="David" w:hAnsi="David" w:cs="David" w:hint="cs"/>
          <w:sz w:val="24"/>
          <w:szCs w:val="24"/>
          <w:rtl/>
        </w:rPr>
        <w:t>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46E7C995"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סעד הצהרתי בדבר הדרך לחישוב גימלתו ובדבר חישוב ההפרש המגיע לו.</w:t>
      </w:r>
      <w:r w:rsidR="0017773A">
        <w:rPr>
          <w:rFonts w:ascii="David" w:hAnsi="David" w:cs="David" w:hint="cs"/>
          <w:sz w:val="24"/>
          <w:szCs w:val="24"/>
          <w:rtl/>
        </w:rPr>
        <w:t xml:space="preserve"> </w:t>
      </w:r>
      <w:r w:rsidR="0017773A" w:rsidRPr="00C84097">
        <w:rPr>
          <w:rFonts w:ascii="David" w:hAnsi="David" w:cs="David" w:hint="cs"/>
          <w:color w:val="984806" w:themeColor="accent6" w:themeShade="80"/>
          <w:sz w:val="24"/>
          <w:szCs w:val="24"/>
          <w:highlight w:val="green"/>
          <w:rtl/>
        </w:rPr>
        <w:t>והפרשים</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68FBCD0C" w:rsidR="004F210A" w:rsidRPr="00C84097" w:rsidRDefault="004F210A" w:rsidP="004F210A">
      <w:pPr>
        <w:pStyle w:val="a3"/>
        <w:numPr>
          <w:ilvl w:val="0"/>
          <w:numId w:val="5"/>
        </w:numPr>
        <w:spacing w:after="0" w:line="360" w:lineRule="auto"/>
        <w:rPr>
          <w:rFonts w:ascii="David" w:hAnsi="David" w:cs="David"/>
          <w:sz w:val="24"/>
          <w:szCs w:val="24"/>
          <w:highlight w:val="green"/>
        </w:rPr>
      </w:pPr>
      <w:r>
        <w:rPr>
          <w:rFonts w:ascii="David" w:hAnsi="David" w:cs="David" w:hint="cs"/>
          <w:sz w:val="24"/>
          <w:szCs w:val="24"/>
          <w:rtl/>
        </w:rPr>
        <w:t>קביעה כי לא חלה התיישנות על תביעה זו.</w:t>
      </w:r>
      <w:r w:rsidR="00C84097">
        <w:rPr>
          <w:rFonts w:ascii="David" w:hAnsi="David" w:cs="David" w:hint="cs"/>
          <w:sz w:val="24"/>
          <w:szCs w:val="24"/>
          <w:rtl/>
        </w:rPr>
        <w:t xml:space="preserve"> </w:t>
      </w:r>
      <w:r w:rsidR="00C84097" w:rsidRPr="00C84097">
        <w:rPr>
          <w:rFonts w:ascii="David" w:hAnsi="David" w:cs="David" w:hint="cs"/>
          <w:color w:val="984806" w:themeColor="accent6" w:themeShade="80"/>
          <w:sz w:val="24"/>
          <w:szCs w:val="24"/>
          <w:highlight w:val="green"/>
          <w:rtl/>
        </w:rPr>
        <w:t>זו תביעתי</w:t>
      </w:r>
      <w:r w:rsidR="00096B4A">
        <w:rPr>
          <w:rFonts w:ascii="David" w:hAnsi="David" w:cs="David" w:hint="cs"/>
          <w:color w:val="984806" w:themeColor="accent6" w:themeShade="80"/>
          <w:sz w:val="24"/>
          <w:szCs w:val="24"/>
          <w:highlight w:val="green"/>
          <w:rtl/>
        </w:rPr>
        <w:t xml:space="preserve"> </w:t>
      </w:r>
      <w:r w:rsidR="00C84097" w:rsidRPr="00C84097">
        <w:rPr>
          <w:rFonts w:ascii="David" w:hAnsi="David" w:cs="David" w:hint="cs"/>
          <w:color w:val="984806" w:themeColor="accent6" w:themeShade="80"/>
          <w:sz w:val="24"/>
          <w:szCs w:val="24"/>
          <w:highlight w:val="green"/>
          <w:rtl/>
        </w:rPr>
        <w:t>?</w:t>
      </w:r>
      <w:r w:rsidR="00C84097">
        <w:rPr>
          <w:rFonts w:ascii="David" w:hAnsi="David" w:cs="David" w:hint="cs"/>
          <w:color w:val="984806" w:themeColor="accent6" w:themeShade="80"/>
          <w:sz w:val="24"/>
          <w:szCs w:val="24"/>
          <w:rtl/>
        </w:rPr>
        <w:t xml:space="preserve"> </w:t>
      </w:r>
      <w:r w:rsidR="00C84097" w:rsidRPr="00C84097">
        <w:rPr>
          <w:rFonts w:ascii="David" w:hAnsi="David" w:cs="David" w:hint="cs"/>
          <w:color w:val="984806" w:themeColor="accent6" w:themeShade="80"/>
          <w:sz w:val="24"/>
          <w:szCs w:val="24"/>
          <w:highlight w:val="green"/>
          <w:rtl/>
        </w:rPr>
        <w:t>ומה אם הטענה לא תעלה כלל</w:t>
      </w:r>
      <w:r w:rsidR="00C84097" w:rsidRPr="00C84097">
        <w:rPr>
          <w:rFonts w:ascii="David" w:hAnsi="David" w:cs="David" w:hint="cs"/>
          <w:sz w:val="24"/>
          <w:szCs w:val="24"/>
          <w:highlight w:val="green"/>
          <w:rtl/>
        </w:rPr>
        <w:t>?</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063E0BD6" w14:textId="3F6B7F5B" w:rsidR="00096B4A" w:rsidRPr="00096B4A" w:rsidRDefault="005378D5" w:rsidP="00914B97">
      <w:pPr>
        <w:pStyle w:val="a3"/>
        <w:numPr>
          <w:ilvl w:val="0"/>
          <w:numId w:val="4"/>
        </w:numPr>
        <w:spacing w:after="0" w:line="360" w:lineRule="auto"/>
        <w:jc w:val="both"/>
        <w:rPr>
          <w:rFonts w:ascii="David" w:hAnsi="David" w:cs="David"/>
          <w:color w:val="984806" w:themeColor="accent6" w:themeShade="80"/>
          <w:sz w:val="24"/>
          <w:szCs w:val="24"/>
          <w:highlight w:val="green"/>
        </w:rPr>
      </w:pPr>
      <w:r w:rsidRPr="00914B97">
        <w:rPr>
          <w:rFonts w:ascii="David" w:hAnsi="David" w:cs="David"/>
          <w:sz w:val="24"/>
          <w:szCs w:val="24"/>
          <w:rtl/>
        </w:rPr>
        <w:t>התובע הועסק בשירות המדינה</w:t>
      </w:r>
      <w:r w:rsidR="00DC4E77">
        <w:rPr>
          <w:rFonts w:ascii="David" w:hAnsi="David" w:cs="David" w:hint="cs"/>
          <w:sz w:val="24"/>
          <w:szCs w:val="24"/>
          <w:rtl/>
        </w:rPr>
        <w:t xml:space="preserve"> </w:t>
      </w:r>
      <w:r w:rsidR="00DC4E77" w:rsidRPr="00DC4E77">
        <w:rPr>
          <w:rFonts w:ascii="David" w:hAnsi="David" w:cs="David" w:hint="cs"/>
          <w:sz w:val="24"/>
          <w:szCs w:val="24"/>
          <w:highlight w:val="green"/>
          <w:rtl/>
        </w:rPr>
        <w:t>8 חודשים ב1964</w:t>
      </w:r>
      <w:r w:rsidR="00DC4E77">
        <w:rPr>
          <w:rFonts w:ascii="David" w:hAnsi="David" w:cs="David" w:hint="cs"/>
          <w:sz w:val="24"/>
          <w:szCs w:val="24"/>
          <w:rtl/>
        </w:rPr>
        <w:t xml:space="preserve"> ו</w:t>
      </w:r>
      <w:r w:rsidRPr="00914B97">
        <w:rPr>
          <w:rFonts w:ascii="David" w:hAnsi="David" w:cs="David"/>
          <w:sz w:val="24"/>
          <w:szCs w:val="24"/>
          <w:rtl/>
        </w:rPr>
        <w:t>משנת 1970 עד שנת 1990 כעובד קבוע על פי כתב מינוי</w:t>
      </w:r>
      <w:r w:rsidR="00C435B9">
        <w:rPr>
          <w:rFonts w:ascii="David" w:hAnsi="David" w:cs="David" w:hint="cs"/>
          <w:sz w:val="24"/>
          <w:szCs w:val="24"/>
          <w:rtl/>
        </w:rPr>
        <w:t xml:space="preserve"> </w:t>
      </w:r>
      <w:r w:rsidR="00C435B9" w:rsidRPr="00C435B9">
        <w:rPr>
          <w:rFonts w:ascii="David" w:hAnsi="David" w:cs="David" w:hint="cs"/>
          <w:sz w:val="24"/>
          <w:szCs w:val="24"/>
          <w:highlight w:val="green"/>
          <w:rtl/>
        </w:rPr>
        <w:t>(20.33שנים  בס"ה)</w:t>
      </w:r>
      <w:r w:rsidRPr="00C435B9">
        <w:rPr>
          <w:rFonts w:ascii="David" w:hAnsi="David" w:cs="David"/>
          <w:sz w:val="24"/>
          <w:szCs w:val="24"/>
          <w:highlight w:val="green"/>
          <w:rtl/>
        </w:rPr>
        <w:t>.</w:t>
      </w:r>
      <w:r w:rsidRPr="00914B97">
        <w:rPr>
          <w:rFonts w:ascii="David" w:hAnsi="David" w:cs="David"/>
          <w:sz w:val="24"/>
          <w:szCs w:val="24"/>
          <w:rtl/>
        </w:rPr>
        <w:t xml:space="preserve"> בשנת 1990 שונה מעמדו והוא החל לעבוד על פי חוזה אישי (הסכם הבכירים</w:t>
      </w:r>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xml:space="preserve">). על פי חוזה זה המשיך בעבודתו עד תאריך 31.7.2012 </w:t>
      </w:r>
      <w:r w:rsidR="00C435B9" w:rsidRPr="00C435B9">
        <w:rPr>
          <w:rFonts w:ascii="David" w:hAnsi="David" w:cs="David" w:hint="cs"/>
          <w:sz w:val="24"/>
          <w:szCs w:val="24"/>
          <w:highlight w:val="green"/>
          <w:rtl/>
        </w:rPr>
        <w:t>(22.33שנים).</w:t>
      </w:r>
      <w:r w:rsidR="00C435B9">
        <w:rPr>
          <w:rFonts w:ascii="David" w:hAnsi="David" w:cs="David" w:hint="cs"/>
          <w:sz w:val="24"/>
          <w:szCs w:val="24"/>
          <w:rtl/>
        </w:rPr>
        <w:t xml:space="preserve"> </w:t>
      </w:r>
      <w:r w:rsidRPr="00C435B9">
        <w:rPr>
          <w:rFonts w:ascii="David" w:hAnsi="David" w:cs="David"/>
          <w:sz w:val="24"/>
          <w:szCs w:val="24"/>
          <w:highlight w:val="yellow"/>
          <w:rtl/>
        </w:rPr>
        <w:t>ואז פרש לגימלאות.</w:t>
      </w:r>
      <w:r w:rsidR="00F25091">
        <w:rPr>
          <w:rFonts w:ascii="David" w:hAnsi="David" w:cs="David" w:hint="cs"/>
          <w:sz w:val="24"/>
          <w:szCs w:val="24"/>
          <w:rtl/>
        </w:rPr>
        <w:t xml:space="preserve"> </w:t>
      </w:r>
      <w:r w:rsidR="00C435B9">
        <w:rPr>
          <w:rFonts w:ascii="David" w:hAnsi="David" w:cs="David" w:hint="cs"/>
          <w:color w:val="984806" w:themeColor="accent6" w:themeShade="80"/>
          <w:sz w:val="24"/>
          <w:szCs w:val="24"/>
          <w:highlight w:val="green"/>
          <w:rtl/>
        </w:rPr>
        <w:t>לא מדויק. וגם לא נצרך.</w:t>
      </w:r>
    </w:p>
    <w:p w14:paraId="12B4BA0A" w14:textId="0CB78831" w:rsidR="00275773" w:rsidRPr="00275773" w:rsidRDefault="00C84097" w:rsidP="00275773">
      <w:pPr>
        <w:pStyle w:val="a3"/>
        <w:spacing w:after="0" w:line="360" w:lineRule="auto"/>
        <w:ind w:left="444"/>
        <w:jc w:val="both"/>
        <w:rPr>
          <w:rFonts w:ascii="David" w:hAnsi="David" w:cs="David"/>
          <w:color w:val="984806" w:themeColor="accent6" w:themeShade="80"/>
          <w:sz w:val="24"/>
          <w:szCs w:val="24"/>
          <w:highlight w:val="green"/>
          <w:rtl/>
        </w:rPr>
      </w:pPr>
      <w:r w:rsidRPr="00096B4A">
        <w:rPr>
          <w:rFonts w:ascii="David" w:hAnsi="David" w:cs="David" w:hint="cs"/>
          <w:color w:val="984806" w:themeColor="accent6" w:themeShade="80"/>
          <w:sz w:val="24"/>
          <w:szCs w:val="24"/>
          <w:highlight w:val="green"/>
          <w:rtl/>
        </w:rPr>
        <w:t>האם ל</w:t>
      </w:r>
      <w:r w:rsidR="00607998">
        <w:rPr>
          <w:rFonts w:ascii="David" w:hAnsi="David" w:cs="David" w:hint="cs"/>
          <w:color w:val="984806" w:themeColor="accent6" w:themeShade="80"/>
          <w:sz w:val="24"/>
          <w:szCs w:val="24"/>
          <w:highlight w:val="green"/>
          <w:rtl/>
        </w:rPr>
        <w:t>צורך מתן פרשנות לחוזה</w:t>
      </w:r>
      <w:r w:rsidR="00275773">
        <w:rPr>
          <w:rFonts w:ascii="David" w:hAnsi="David" w:cs="David" w:hint="cs"/>
          <w:color w:val="984806" w:themeColor="accent6" w:themeShade="80"/>
          <w:sz w:val="24"/>
          <w:szCs w:val="24"/>
          <w:highlight w:val="green"/>
          <w:rtl/>
        </w:rPr>
        <w:t xml:space="preserve"> (בעיקר סעיף 12)</w:t>
      </w:r>
      <w:r w:rsidR="00607998">
        <w:rPr>
          <w:rFonts w:ascii="David" w:hAnsi="David" w:cs="David" w:hint="cs"/>
          <w:color w:val="984806" w:themeColor="accent6" w:themeShade="80"/>
          <w:sz w:val="24"/>
          <w:szCs w:val="24"/>
          <w:highlight w:val="green"/>
          <w:rtl/>
        </w:rPr>
        <w:t xml:space="preserve"> </w:t>
      </w:r>
      <w:r w:rsidR="00627709">
        <w:rPr>
          <w:rFonts w:ascii="David" w:hAnsi="David" w:cs="David" w:hint="cs"/>
          <w:color w:val="984806" w:themeColor="accent6" w:themeShade="80"/>
          <w:sz w:val="24"/>
          <w:szCs w:val="24"/>
          <w:highlight w:val="green"/>
          <w:rtl/>
        </w:rPr>
        <w:t xml:space="preserve">והבנת כוונת הצדדים בעת ההתקשרות ולאחריה, </w:t>
      </w:r>
      <w:r w:rsidR="00607998">
        <w:rPr>
          <w:rFonts w:ascii="David" w:hAnsi="David" w:cs="David" w:hint="cs"/>
          <w:color w:val="984806" w:themeColor="accent6" w:themeShade="80"/>
          <w:sz w:val="24"/>
          <w:szCs w:val="24"/>
          <w:highlight w:val="green"/>
          <w:rtl/>
        </w:rPr>
        <w:t>ל</w:t>
      </w:r>
      <w:r w:rsidRPr="00096B4A">
        <w:rPr>
          <w:rFonts w:ascii="David" w:hAnsi="David" w:cs="David" w:hint="cs"/>
          <w:color w:val="984806" w:themeColor="accent6" w:themeShade="80"/>
          <w:sz w:val="24"/>
          <w:szCs w:val="24"/>
          <w:highlight w:val="green"/>
          <w:rtl/>
        </w:rPr>
        <w:t xml:space="preserve">א נכון להרחיב </w:t>
      </w:r>
      <w:r w:rsidR="00096B4A">
        <w:rPr>
          <w:rFonts w:ascii="David" w:hAnsi="David" w:cs="David" w:hint="cs"/>
          <w:color w:val="984806" w:themeColor="accent6" w:themeShade="80"/>
          <w:sz w:val="24"/>
          <w:szCs w:val="24"/>
          <w:highlight w:val="green"/>
          <w:rtl/>
        </w:rPr>
        <w:t>ולהדגיש</w:t>
      </w:r>
      <w:r w:rsidR="00A85D54">
        <w:rPr>
          <w:rFonts w:ascii="David" w:hAnsi="David" w:cs="David" w:hint="cs"/>
          <w:color w:val="984806" w:themeColor="accent6" w:themeShade="80"/>
          <w:sz w:val="24"/>
          <w:szCs w:val="24"/>
          <w:highlight w:val="green"/>
          <w:rtl/>
        </w:rPr>
        <w:t xml:space="preserve"> </w:t>
      </w:r>
      <w:r w:rsidRPr="00096B4A">
        <w:rPr>
          <w:rFonts w:ascii="David" w:hAnsi="David" w:cs="David" w:hint="cs"/>
          <w:color w:val="984806" w:themeColor="accent6" w:themeShade="80"/>
          <w:sz w:val="24"/>
          <w:szCs w:val="24"/>
          <w:highlight w:val="green"/>
          <w:rtl/>
        </w:rPr>
        <w:t>את הרקע</w:t>
      </w:r>
      <w:r w:rsidR="00611144">
        <w:rPr>
          <w:rFonts w:ascii="David" w:hAnsi="David" w:cs="David" w:hint="cs"/>
          <w:color w:val="984806" w:themeColor="accent6" w:themeShade="80"/>
          <w:sz w:val="24"/>
          <w:szCs w:val="24"/>
          <w:highlight w:val="green"/>
          <w:rtl/>
        </w:rPr>
        <w:t xml:space="preserve"> </w:t>
      </w:r>
      <w:r w:rsidR="00547A54">
        <w:rPr>
          <w:rFonts w:ascii="David" w:hAnsi="David" w:cs="David" w:hint="cs"/>
          <w:color w:val="984806" w:themeColor="accent6" w:themeShade="80"/>
          <w:sz w:val="24"/>
          <w:szCs w:val="24"/>
          <w:highlight w:val="green"/>
          <w:rtl/>
        </w:rPr>
        <w:t>ל</w:t>
      </w:r>
      <w:r w:rsidRPr="00096B4A">
        <w:rPr>
          <w:rFonts w:ascii="David" w:hAnsi="David" w:cs="David" w:hint="cs"/>
          <w:color w:val="984806" w:themeColor="accent6" w:themeShade="80"/>
          <w:sz w:val="24"/>
          <w:szCs w:val="24"/>
          <w:highlight w:val="green"/>
          <w:rtl/>
        </w:rPr>
        <w:t>שינוי</w:t>
      </w:r>
      <w:bookmarkStart w:id="0" w:name="_Hlk104178776"/>
      <w:r w:rsidR="00547A54">
        <w:rPr>
          <w:rFonts w:ascii="David" w:hAnsi="David" w:cs="David" w:hint="cs"/>
          <w:color w:val="984806" w:themeColor="accent6" w:themeShade="80"/>
          <w:sz w:val="24"/>
          <w:szCs w:val="24"/>
          <w:highlight w:val="green"/>
          <w:rtl/>
        </w:rPr>
        <w:t>,</w:t>
      </w:r>
      <w:r w:rsidR="00611144">
        <w:rPr>
          <w:rFonts w:ascii="David" w:hAnsi="David" w:cs="David" w:hint="cs"/>
          <w:color w:val="984806" w:themeColor="accent6" w:themeShade="80"/>
          <w:sz w:val="24"/>
          <w:szCs w:val="24"/>
          <w:highlight w:val="green"/>
          <w:rtl/>
        </w:rPr>
        <w:t xml:space="preserve"> </w:t>
      </w:r>
      <w:r w:rsidR="00547A54">
        <w:rPr>
          <w:rFonts w:ascii="David" w:hAnsi="David" w:cs="David" w:hint="cs"/>
          <w:color w:val="984806" w:themeColor="accent6" w:themeShade="80"/>
          <w:sz w:val="24"/>
          <w:szCs w:val="24"/>
          <w:highlight w:val="green"/>
          <w:rtl/>
        </w:rPr>
        <w:t>שהמדינה יזמה, (ר' מבוא לחוזה)</w:t>
      </w:r>
      <w:r w:rsidR="00DB6C67">
        <w:rPr>
          <w:rFonts w:ascii="David" w:hAnsi="David" w:cs="David" w:hint="cs"/>
          <w:color w:val="984806" w:themeColor="accent6" w:themeShade="80"/>
          <w:sz w:val="24"/>
          <w:szCs w:val="24"/>
          <w:highlight w:val="green"/>
          <w:rtl/>
        </w:rPr>
        <w:t xml:space="preserve"> והיא שהציעה לי (תמורת ויתורים משלי)</w:t>
      </w:r>
      <w:r w:rsidR="00275773">
        <w:rPr>
          <w:rFonts w:ascii="David" w:hAnsi="David" w:cs="David" w:hint="cs"/>
          <w:color w:val="984806" w:themeColor="accent6" w:themeShade="80"/>
          <w:sz w:val="24"/>
          <w:szCs w:val="24"/>
          <w:highlight w:val="green"/>
          <w:rtl/>
        </w:rPr>
        <w:t xml:space="preserve"> </w:t>
      </w:r>
      <w:r w:rsidR="00275773" w:rsidRPr="00275773">
        <w:rPr>
          <w:rFonts w:ascii="David" w:hAnsi="David" w:cs="David" w:hint="cs"/>
          <w:color w:val="984806" w:themeColor="accent6" w:themeShade="80"/>
          <w:sz w:val="24"/>
          <w:szCs w:val="24"/>
          <w:highlight w:val="green"/>
          <w:rtl/>
        </w:rPr>
        <w:t xml:space="preserve"> </w:t>
      </w:r>
      <w:r w:rsidR="00627709">
        <w:rPr>
          <w:rFonts w:ascii="David" w:hAnsi="David" w:cs="David" w:hint="cs"/>
          <w:color w:val="984806" w:themeColor="accent6" w:themeShade="80"/>
          <w:sz w:val="24"/>
          <w:szCs w:val="24"/>
          <w:highlight w:val="green"/>
          <w:rtl/>
        </w:rPr>
        <w:t xml:space="preserve"> </w:t>
      </w:r>
      <w:r w:rsidR="00275773" w:rsidRPr="00275773">
        <w:rPr>
          <w:rFonts w:ascii="David" w:hAnsi="David" w:cs="David" w:hint="cs"/>
          <w:color w:val="984806" w:themeColor="accent6" w:themeShade="80"/>
          <w:sz w:val="24"/>
          <w:szCs w:val="24"/>
          <w:highlight w:val="green"/>
          <w:rtl/>
        </w:rPr>
        <w:t>שעיקרם:</w:t>
      </w:r>
    </w:p>
    <w:p w14:paraId="5140439E" w14:textId="30402486" w:rsidR="00DC4E77" w:rsidRDefault="00547A54" w:rsidP="00611144">
      <w:pPr>
        <w:pStyle w:val="a3"/>
        <w:spacing w:after="0" w:line="360" w:lineRule="auto"/>
        <w:ind w:left="444"/>
        <w:jc w:val="both"/>
        <w:rPr>
          <w:rFonts w:ascii="David" w:hAnsi="David" w:cs="David"/>
          <w:color w:val="984806" w:themeColor="accent6" w:themeShade="80"/>
          <w:sz w:val="24"/>
          <w:szCs w:val="24"/>
          <w:highlight w:val="green"/>
          <w:rtl/>
        </w:rPr>
      </w:pPr>
      <w:r>
        <w:rPr>
          <w:rFonts w:ascii="David" w:hAnsi="David" w:cs="David" w:hint="cs"/>
          <w:color w:val="984806" w:themeColor="accent6" w:themeShade="80"/>
          <w:sz w:val="24"/>
          <w:szCs w:val="24"/>
          <w:highlight w:val="green"/>
          <w:rtl/>
        </w:rPr>
        <w:lastRenderedPageBreak/>
        <w:t xml:space="preserve"> </w:t>
      </w:r>
      <w:bookmarkEnd w:id="0"/>
      <w:r w:rsidR="00096B4A">
        <w:rPr>
          <w:rFonts w:ascii="David" w:hAnsi="David" w:cs="David" w:hint="cs"/>
          <w:color w:val="984806" w:themeColor="accent6" w:themeShade="80"/>
          <w:sz w:val="24"/>
          <w:szCs w:val="24"/>
          <w:highlight w:val="green"/>
          <w:rtl/>
        </w:rPr>
        <w:t xml:space="preserve">(1) </w:t>
      </w:r>
      <w:r w:rsidR="00DB6C67">
        <w:rPr>
          <w:rFonts w:ascii="David" w:hAnsi="David" w:cs="David" w:hint="cs"/>
          <w:color w:val="984806" w:themeColor="accent6" w:themeShade="80"/>
          <w:sz w:val="24"/>
          <w:szCs w:val="24"/>
          <w:highlight w:val="green"/>
          <w:rtl/>
        </w:rPr>
        <w:t>שפ</w:t>
      </w:r>
      <w:r w:rsidR="00275773">
        <w:rPr>
          <w:rFonts w:ascii="David" w:hAnsi="David" w:cs="David" w:hint="cs"/>
          <w:color w:val="984806" w:themeColor="accent6" w:themeShade="80"/>
          <w:sz w:val="24"/>
          <w:szCs w:val="24"/>
          <w:highlight w:val="green"/>
          <w:rtl/>
        </w:rPr>
        <w:t>ו</w:t>
      </w:r>
      <w:r w:rsidR="00DB6C67">
        <w:rPr>
          <w:rFonts w:ascii="David" w:hAnsi="David" w:cs="David" w:hint="cs"/>
          <w:color w:val="984806" w:themeColor="accent6" w:themeShade="80"/>
          <w:sz w:val="24"/>
          <w:szCs w:val="24"/>
          <w:highlight w:val="green"/>
          <w:rtl/>
        </w:rPr>
        <w:t xml:space="preserve">ר </w:t>
      </w:r>
      <w:r w:rsidR="00096B4A">
        <w:rPr>
          <w:rFonts w:ascii="David" w:hAnsi="David" w:cs="David" w:hint="cs"/>
          <w:color w:val="984806" w:themeColor="accent6" w:themeShade="80"/>
          <w:sz w:val="24"/>
          <w:szCs w:val="24"/>
          <w:highlight w:val="green"/>
          <w:rtl/>
        </w:rPr>
        <w:t>המשכורת ממועד השינוי ואילך</w:t>
      </w:r>
      <w:r w:rsidR="00DB6C67">
        <w:rPr>
          <w:rFonts w:ascii="David" w:hAnsi="David" w:cs="David" w:hint="cs"/>
          <w:color w:val="984806" w:themeColor="accent6" w:themeShade="80"/>
          <w:sz w:val="24"/>
          <w:szCs w:val="24"/>
          <w:highlight w:val="green"/>
          <w:rtl/>
        </w:rPr>
        <w:t xml:space="preserve"> (85%</w:t>
      </w:r>
      <w:r w:rsidR="00275773">
        <w:rPr>
          <w:rFonts w:ascii="David" w:hAnsi="David" w:cs="David" w:hint="cs"/>
          <w:color w:val="984806" w:themeColor="accent6" w:themeShade="80"/>
          <w:sz w:val="24"/>
          <w:szCs w:val="24"/>
          <w:highlight w:val="green"/>
          <w:rtl/>
        </w:rPr>
        <w:t xml:space="preserve"> ממשכורת </w:t>
      </w:r>
      <w:r w:rsidR="00DB6C67">
        <w:rPr>
          <w:rFonts w:ascii="David" w:hAnsi="David" w:cs="David" w:hint="cs"/>
          <w:color w:val="984806" w:themeColor="accent6" w:themeShade="80"/>
          <w:sz w:val="24"/>
          <w:szCs w:val="24"/>
          <w:highlight w:val="green"/>
          <w:rtl/>
        </w:rPr>
        <w:t xml:space="preserve">סגן שכר, העלאה ל-90% כעבור זמן מסוים, </w:t>
      </w:r>
      <w:r w:rsidR="003068D2">
        <w:rPr>
          <w:rFonts w:ascii="David" w:hAnsi="David" w:cs="David" w:hint="cs"/>
          <w:color w:val="984806" w:themeColor="accent6" w:themeShade="80"/>
          <w:sz w:val="24"/>
          <w:szCs w:val="24"/>
          <w:highlight w:val="green"/>
          <w:rtl/>
        </w:rPr>
        <w:t>ש</w:t>
      </w:r>
      <w:r w:rsidR="00DB6C67">
        <w:rPr>
          <w:rFonts w:ascii="David" w:hAnsi="David" w:cs="David" w:hint="cs"/>
          <w:color w:val="984806" w:themeColor="accent6" w:themeShade="80"/>
          <w:sz w:val="24"/>
          <w:szCs w:val="24"/>
          <w:highlight w:val="green"/>
          <w:rtl/>
        </w:rPr>
        <w:t>בוצע</w:t>
      </w:r>
      <w:r w:rsidR="003068D2">
        <w:rPr>
          <w:rFonts w:ascii="David" w:hAnsi="David" w:cs="David" w:hint="cs"/>
          <w:color w:val="984806" w:themeColor="accent6" w:themeShade="80"/>
          <w:sz w:val="24"/>
          <w:szCs w:val="24"/>
          <w:highlight w:val="green"/>
          <w:rtl/>
        </w:rPr>
        <w:t>ו</w:t>
      </w:r>
      <w:r w:rsidR="00DB6C67">
        <w:rPr>
          <w:rFonts w:ascii="David" w:hAnsi="David" w:cs="David" w:hint="cs"/>
          <w:color w:val="984806" w:themeColor="accent6" w:themeShade="80"/>
          <w:sz w:val="24"/>
          <w:szCs w:val="24"/>
          <w:highlight w:val="green"/>
          <w:rtl/>
        </w:rPr>
        <w:t xml:space="preserve"> כמובטח למרות שהפרטים לא נרשמו בחוזה</w:t>
      </w:r>
      <w:r w:rsidR="003068D2">
        <w:rPr>
          <w:rFonts w:ascii="David" w:hAnsi="David" w:cs="David" w:hint="cs"/>
          <w:color w:val="984806" w:themeColor="accent6" w:themeShade="80"/>
          <w:sz w:val="24"/>
          <w:szCs w:val="24"/>
          <w:highlight w:val="green"/>
          <w:rtl/>
        </w:rPr>
        <w:t>)</w:t>
      </w:r>
      <w:r w:rsidR="00DB6C67">
        <w:rPr>
          <w:rFonts w:ascii="David" w:hAnsi="David" w:cs="David" w:hint="cs"/>
          <w:color w:val="984806" w:themeColor="accent6" w:themeShade="80"/>
          <w:sz w:val="24"/>
          <w:szCs w:val="24"/>
          <w:highlight w:val="green"/>
          <w:rtl/>
        </w:rPr>
        <w:t xml:space="preserve"> </w:t>
      </w:r>
      <w:r w:rsidR="00611144">
        <w:rPr>
          <w:rFonts w:ascii="David" w:hAnsi="David" w:cs="David" w:hint="cs"/>
          <w:color w:val="984806" w:themeColor="accent6" w:themeShade="80"/>
          <w:sz w:val="24"/>
          <w:szCs w:val="24"/>
          <w:highlight w:val="green"/>
          <w:rtl/>
        </w:rPr>
        <w:t xml:space="preserve"> ו(2)</w:t>
      </w:r>
      <w:r w:rsidR="00096B4A">
        <w:rPr>
          <w:rFonts w:ascii="David" w:hAnsi="David" w:cs="David" w:hint="cs"/>
          <w:color w:val="984806" w:themeColor="accent6" w:themeShade="80"/>
          <w:sz w:val="24"/>
          <w:szCs w:val="24"/>
          <w:highlight w:val="green"/>
          <w:rtl/>
        </w:rPr>
        <w:t xml:space="preserve"> </w:t>
      </w:r>
      <w:r w:rsidR="00DB6C67">
        <w:rPr>
          <w:rFonts w:ascii="David" w:hAnsi="David" w:cs="David" w:hint="cs"/>
          <w:color w:val="984806" w:themeColor="accent6" w:themeShade="80"/>
          <w:sz w:val="24"/>
          <w:szCs w:val="24"/>
          <w:highlight w:val="green"/>
          <w:rtl/>
        </w:rPr>
        <w:t>ש</w:t>
      </w:r>
      <w:r w:rsidR="00627709">
        <w:rPr>
          <w:rFonts w:ascii="David" w:hAnsi="David" w:cs="David" w:hint="cs"/>
          <w:color w:val="984806" w:themeColor="accent6" w:themeShade="80"/>
          <w:sz w:val="24"/>
          <w:szCs w:val="24"/>
          <w:highlight w:val="green"/>
          <w:rtl/>
        </w:rPr>
        <w:t>י</w:t>
      </w:r>
      <w:r w:rsidR="00DB6C67">
        <w:rPr>
          <w:rFonts w:ascii="David" w:hAnsi="David" w:cs="David" w:hint="cs"/>
          <w:color w:val="984806" w:themeColor="accent6" w:themeShade="80"/>
          <w:sz w:val="24"/>
          <w:szCs w:val="24"/>
          <w:highlight w:val="green"/>
          <w:rtl/>
        </w:rPr>
        <w:t>פ</w:t>
      </w:r>
      <w:r w:rsidR="00627709">
        <w:rPr>
          <w:rFonts w:ascii="David" w:hAnsi="David" w:cs="David" w:hint="cs"/>
          <w:color w:val="984806" w:themeColor="accent6" w:themeShade="80"/>
          <w:sz w:val="24"/>
          <w:szCs w:val="24"/>
          <w:highlight w:val="green"/>
          <w:rtl/>
        </w:rPr>
        <w:t>ו</w:t>
      </w:r>
      <w:r w:rsidR="00DB6C67">
        <w:rPr>
          <w:rFonts w:ascii="David" w:hAnsi="David" w:cs="David" w:hint="cs"/>
          <w:color w:val="984806" w:themeColor="accent6" w:themeShade="80"/>
          <w:sz w:val="24"/>
          <w:szCs w:val="24"/>
          <w:highlight w:val="green"/>
          <w:rtl/>
        </w:rPr>
        <w:t>ר</w:t>
      </w:r>
      <w:r w:rsidR="00627709">
        <w:rPr>
          <w:rFonts w:ascii="David" w:hAnsi="David" w:cs="David" w:hint="cs"/>
          <w:color w:val="984806" w:themeColor="accent6" w:themeShade="80"/>
          <w:sz w:val="24"/>
          <w:szCs w:val="24"/>
          <w:highlight w:val="green"/>
          <w:rtl/>
        </w:rPr>
        <w:t xml:space="preserve"> </w:t>
      </w:r>
      <w:r w:rsidR="00096B4A">
        <w:rPr>
          <w:rFonts w:ascii="David" w:hAnsi="David" w:cs="David" w:hint="cs"/>
          <w:color w:val="984806" w:themeColor="accent6" w:themeShade="80"/>
          <w:sz w:val="24"/>
          <w:szCs w:val="24"/>
          <w:highlight w:val="green"/>
          <w:rtl/>
        </w:rPr>
        <w:t>תנאי הפנסיה לשתי התקופות</w:t>
      </w:r>
      <w:r w:rsidR="00611144">
        <w:rPr>
          <w:rFonts w:ascii="David" w:hAnsi="David" w:cs="David" w:hint="cs"/>
          <w:color w:val="984806" w:themeColor="accent6" w:themeShade="80"/>
          <w:sz w:val="24"/>
          <w:szCs w:val="24"/>
          <w:highlight w:val="green"/>
          <w:rtl/>
        </w:rPr>
        <w:t xml:space="preserve"> </w:t>
      </w:r>
      <w:r w:rsidR="003068D2">
        <w:rPr>
          <w:rFonts w:ascii="David" w:hAnsi="David" w:cs="David" w:hint="cs"/>
          <w:color w:val="984806" w:themeColor="accent6" w:themeShade="80"/>
          <w:sz w:val="24"/>
          <w:szCs w:val="24"/>
          <w:highlight w:val="green"/>
          <w:rtl/>
        </w:rPr>
        <w:t xml:space="preserve">(פנסיה לפי משכורת החוזה למלוא תקופת עבודה בחוזה ללא שקלול כלשהו, והיתרה בגין תקופת כתב המינוי (עד 35 שנה בס"ה) לפי הדרגה העליונה בדירוג המח"ר בשיא הותק) ופיצויים </w:t>
      </w:r>
      <w:r w:rsidR="00627709">
        <w:rPr>
          <w:rFonts w:ascii="David" w:hAnsi="David" w:cs="David" w:hint="cs"/>
          <w:color w:val="984806" w:themeColor="accent6" w:themeShade="80"/>
          <w:sz w:val="24"/>
          <w:szCs w:val="24"/>
          <w:highlight w:val="green"/>
          <w:rtl/>
        </w:rPr>
        <w:t>ב</w:t>
      </w:r>
      <w:r w:rsidR="003068D2">
        <w:rPr>
          <w:rFonts w:ascii="David" w:hAnsi="David" w:cs="David" w:hint="cs"/>
          <w:color w:val="984806" w:themeColor="accent6" w:themeShade="80"/>
          <w:sz w:val="24"/>
          <w:szCs w:val="24"/>
          <w:highlight w:val="green"/>
          <w:rtl/>
        </w:rPr>
        <w:t>גין שנים עודפות</w:t>
      </w:r>
      <w:r w:rsidR="00275773">
        <w:rPr>
          <w:rFonts w:ascii="David" w:hAnsi="David" w:cs="David" w:hint="cs"/>
          <w:color w:val="984806" w:themeColor="accent6" w:themeShade="80"/>
          <w:sz w:val="24"/>
          <w:szCs w:val="24"/>
          <w:highlight w:val="green"/>
          <w:rtl/>
        </w:rPr>
        <w:t xml:space="preserve"> מעל 35 שנה (לפי משכורת </w:t>
      </w:r>
      <w:r w:rsidR="00627709">
        <w:rPr>
          <w:rFonts w:ascii="David" w:hAnsi="David" w:cs="David" w:hint="cs"/>
          <w:color w:val="984806" w:themeColor="accent6" w:themeShade="80"/>
          <w:sz w:val="24"/>
          <w:szCs w:val="24"/>
          <w:highlight w:val="green"/>
          <w:rtl/>
        </w:rPr>
        <w:t xml:space="preserve">חוזה </w:t>
      </w:r>
      <w:r w:rsidR="00275773">
        <w:rPr>
          <w:rFonts w:ascii="David" w:hAnsi="David" w:cs="David" w:hint="cs"/>
          <w:color w:val="984806" w:themeColor="accent6" w:themeShade="80"/>
          <w:sz w:val="24"/>
          <w:szCs w:val="24"/>
          <w:highlight w:val="green"/>
          <w:rtl/>
        </w:rPr>
        <w:t>אחרונה</w:t>
      </w:r>
      <w:r w:rsidR="00627709">
        <w:rPr>
          <w:rFonts w:ascii="David" w:hAnsi="David" w:cs="David" w:hint="cs"/>
          <w:color w:val="984806" w:themeColor="accent6" w:themeShade="80"/>
          <w:sz w:val="24"/>
          <w:szCs w:val="24"/>
          <w:highlight w:val="green"/>
          <w:rtl/>
        </w:rPr>
        <w:t>.</w:t>
      </w:r>
      <w:r w:rsidR="00607998">
        <w:rPr>
          <w:rFonts w:ascii="David" w:hAnsi="David" w:cs="David" w:hint="cs"/>
          <w:color w:val="984806" w:themeColor="accent6" w:themeShade="80"/>
          <w:sz w:val="24"/>
          <w:szCs w:val="24"/>
          <w:highlight w:val="green"/>
          <w:rtl/>
        </w:rPr>
        <w:t xml:space="preserve"> </w:t>
      </w:r>
      <w:r w:rsidR="00A85D54">
        <w:rPr>
          <w:rFonts w:ascii="David" w:hAnsi="David" w:cs="David" w:hint="cs"/>
          <w:color w:val="984806" w:themeColor="accent6" w:themeShade="80"/>
          <w:sz w:val="24"/>
          <w:szCs w:val="24"/>
          <w:highlight w:val="green"/>
          <w:rtl/>
        </w:rPr>
        <w:t xml:space="preserve"> </w:t>
      </w:r>
    </w:p>
    <w:p w14:paraId="2B524601" w14:textId="2096B8E7" w:rsidR="00096B4A" w:rsidRPr="00096B4A" w:rsidRDefault="00A85D54" w:rsidP="00096B4A">
      <w:pPr>
        <w:pStyle w:val="a3"/>
        <w:spacing w:after="0" w:line="360" w:lineRule="auto"/>
        <w:ind w:left="444"/>
        <w:jc w:val="both"/>
        <w:rPr>
          <w:rFonts w:ascii="David" w:hAnsi="David" w:cs="David"/>
          <w:color w:val="984806" w:themeColor="accent6" w:themeShade="80"/>
          <w:sz w:val="24"/>
          <w:szCs w:val="24"/>
          <w:highlight w:val="green"/>
        </w:rPr>
      </w:pPr>
      <w:r>
        <w:rPr>
          <w:rFonts w:ascii="David" w:hAnsi="David" w:cs="David" w:hint="cs"/>
          <w:color w:val="984806" w:themeColor="accent6" w:themeShade="80"/>
          <w:sz w:val="24"/>
          <w:szCs w:val="24"/>
          <w:highlight w:val="green"/>
          <w:rtl/>
        </w:rPr>
        <w:t xml:space="preserve">(משליך בעיקר על פרשנות </w:t>
      </w:r>
      <w:r w:rsidR="00DC4E77">
        <w:rPr>
          <w:rFonts w:ascii="David" w:hAnsi="David" w:cs="David" w:hint="cs"/>
          <w:color w:val="984806" w:themeColor="accent6" w:themeShade="80"/>
          <w:sz w:val="24"/>
          <w:szCs w:val="24"/>
          <w:highlight w:val="green"/>
          <w:rtl/>
        </w:rPr>
        <w:t>סעיף 12א)</w:t>
      </w:r>
      <w:r w:rsidR="00DC4E77" w:rsidRPr="00DC4E77">
        <w:rPr>
          <w:rFonts w:ascii="David" w:hAnsi="David" w:cs="David" w:hint="cs"/>
          <w:color w:val="984806" w:themeColor="accent6" w:themeShade="80"/>
          <w:sz w:val="24"/>
          <w:szCs w:val="24"/>
          <w:highlight w:val="green"/>
          <w:rtl/>
        </w:rPr>
        <w:t xml:space="preserve"> </w:t>
      </w:r>
      <w:r w:rsidR="00DC4E77" w:rsidRPr="00096B4A">
        <w:rPr>
          <w:rFonts w:ascii="David" w:hAnsi="David" w:cs="David" w:hint="cs"/>
          <w:color w:val="984806" w:themeColor="accent6" w:themeShade="80"/>
          <w:sz w:val="24"/>
          <w:szCs w:val="24"/>
          <w:highlight w:val="green"/>
          <w:rtl/>
        </w:rPr>
        <w:t xml:space="preserve">- </w:t>
      </w:r>
      <w:r w:rsidR="00DC4E77">
        <w:rPr>
          <w:rFonts w:ascii="David" w:hAnsi="David" w:cs="David" w:hint="cs"/>
          <w:color w:val="984806" w:themeColor="accent6" w:themeShade="80"/>
          <w:sz w:val="24"/>
          <w:szCs w:val="24"/>
          <w:highlight w:val="green"/>
          <w:rtl/>
        </w:rPr>
        <w:t xml:space="preserve">(עיקרו </w:t>
      </w:r>
      <w:r w:rsidR="00DC4E77" w:rsidRPr="00096B4A">
        <w:rPr>
          <w:rFonts w:ascii="David" w:hAnsi="David" w:cs="David" w:hint="cs"/>
          <w:color w:val="984806" w:themeColor="accent6" w:themeShade="80"/>
          <w:sz w:val="24"/>
          <w:szCs w:val="24"/>
          <w:highlight w:val="green"/>
          <w:rtl/>
        </w:rPr>
        <w:t>מפורט במבוא לחוזה</w:t>
      </w:r>
      <w:r w:rsidR="00DC4E77">
        <w:rPr>
          <w:rFonts w:ascii="David" w:hAnsi="David" w:cs="David" w:hint="cs"/>
          <w:color w:val="984806" w:themeColor="accent6" w:themeShade="80"/>
          <w:sz w:val="24"/>
          <w:szCs w:val="24"/>
          <w:highlight w:val="green"/>
          <w:rtl/>
        </w:rPr>
        <w:t>)</w:t>
      </w:r>
      <w:r w:rsidR="00DC4E77" w:rsidRPr="00096B4A">
        <w:rPr>
          <w:rFonts w:ascii="David" w:hAnsi="David" w:cs="David" w:hint="cs"/>
          <w:color w:val="984806" w:themeColor="accent6" w:themeShade="80"/>
          <w:sz w:val="24"/>
          <w:szCs w:val="24"/>
          <w:highlight w:val="green"/>
          <w:rtl/>
        </w:rPr>
        <w:t xml:space="preserve">- </w:t>
      </w:r>
      <w:r w:rsidR="00DC4E77">
        <w:rPr>
          <w:rFonts w:ascii="David" w:hAnsi="David" w:cs="David" w:hint="cs"/>
          <w:color w:val="984806" w:themeColor="accent6" w:themeShade="80"/>
          <w:sz w:val="24"/>
          <w:szCs w:val="24"/>
          <w:highlight w:val="green"/>
          <w:rtl/>
        </w:rPr>
        <w:t>(ר' נוסח שלי</w:t>
      </w:r>
      <w:r w:rsidR="00DC4E77">
        <w:rPr>
          <w:rFonts w:ascii="David" w:hAnsi="David" w:cs="David" w:hint="cs"/>
          <w:color w:val="984806" w:themeColor="accent6" w:themeShade="80"/>
          <w:sz w:val="24"/>
          <w:szCs w:val="24"/>
          <w:highlight w:val="green"/>
          <w:rtl/>
        </w:rPr>
        <w:t>)</w:t>
      </w:r>
    </w:p>
    <w:p w14:paraId="53578923" w14:textId="77777777" w:rsidR="00096B4A" w:rsidRDefault="00096B4A" w:rsidP="00DC4E77">
      <w:pPr>
        <w:pStyle w:val="a3"/>
        <w:spacing w:after="0" w:line="360" w:lineRule="auto"/>
        <w:ind w:left="444"/>
        <w:jc w:val="both"/>
        <w:rPr>
          <w:rFonts w:ascii="David" w:hAnsi="David" w:cs="David"/>
          <w:sz w:val="24"/>
          <w:szCs w:val="24"/>
        </w:rPr>
      </w:pPr>
    </w:p>
    <w:p w14:paraId="63CACC11" w14:textId="710C01FE" w:rsidR="00AD7D3E" w:rsidRDefault="00096B4A" w:rsidP="00914B9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w:t>
      </w:r>
      <w:r w:rsidR="00F25091">
        <w:rPr>
          <w:rFonts w:ascii="David" w:hAnsi="David" w:cs="David" w:hint="cs"/>
          <w:sz w:val="24"/>
          <w:szCs w:val="24"/>
          <w:rtl/>
        </w:rPr>
        <w:t>בשנת .... קיבל פיצויים עבור שבע שנות עבודה לפי הסכם הבכירים באופן שנותרו לו זכויות גימלה עבור עשרים שנות עבודה לפי כתב מינוי ו-22</w:t>
      </w:r>
      <w:r w:rsidR="00DC4E77" w:rsidRPr="00DC4E77">
        <w:rPr>
          <w:rFonts w:ascii="David" w:hAnsi="David" w:cs="David" w:hint="cs"/>
          <w:sz w:val="24"/>
          <w:szCs w:val="24"/>
          <w:highlight w:val="green"/>
          <w:rtl/>
        </w:rPr>
        <w:t>.33</w:t>
      </w:r>
      <w:r w:rsidR="00DC4E77">
        <w:rPr>
          <w:rFonts w:ascii="David" w:hAnsi="David" w:cs="David" w:hint="cs"/>
          <w:sz w:val="24"/>
          <w:szCs w:val="24"/>
          <w:rtl/>
        </w:rPr>
        <w:t xml:space="preserve"> </w:t>
      </w:r>
      <w:r w:rsidR="00F25091">
        <w:rPr>
          <w:rFonts w:ascii="David" w:hAnsi="David" w:cs="David" w:hint="cs"/>
          <w:sz w:val="24"/>
          <w:szCs w:val="24"/>
          <w:rtl/>
        </w:rPr>
        <w:t>שנות עבודה על פי הסכם הבכירים.</w:t>
      </w:r>
    </w:p>
    <w:p w14:paraId="1B79DCCA" w14:textId="6E42000E" w:rsidR="00F25091" w:rsidRDefault="00F25091"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במשך כחצי שנה לא קיבל התובע כל גימלה ולאחר שפנה בכתב ובע"פ אל נש"מ ואל הממונה על הגמלאות ק</w:t>
      </w:r>
      <w:r w:rsidR="00E46E88">
        <w:rPr>
          <w:rFonts w:ascii="David" w:hAnsi="David" w:cs="David" w:hint="cs"/>
          <w:sz w:val="24"/>
          <w:szCs w:val="24"/>
          <w:rtl/>
        </w:rPr>
        <w:t>י</w:t>
      </w:r>
      <w:r>
        <w:rPr>
          <w:rFonts w:ascii="David" w:hAnsi="David" w:cs="David" w:hint="cs"/>
          <w:sz w:val="24"/>
          <w:szCs w:val="24"/>
          <w:rtl/>
        </w:rPr>
        <w:t>בל גימלה החל מחודש ...........</w:t>
      </w:r>
    </w:p>
    <w:p w14:paraId="413B395F" w14:textId="23BD9978" w:rsidR="002443EF" w:rsidRDefault="002443EF"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שיעור הקיצבה שנקבע לתובע נרשם לראשונה במכתב של מר הארונוב מנציבות שירות המדינה אל הגב' חנה ש</w:t>
      </w:r>
      <w:r w:rsidR="00443EA4">
        <w:rPr>
          <w:rFonts w:ascii="David" w:hAnsi="David" w:cs="David" w:hint="cs"/>
          <w:sz w:val="24"/>
          <w:szCs w:val="24"/>
          <w:rtl/>
        </w:rPr>
        <w:t>ו</w:t>
      </w:r>
      <w:r>
        <w:rPr>
          <w:rFonts w:ascii="David" w:hAnsi="David" w:cs="David" w:hint="cs"/>
          <w:sz w:val="24"/>
          <w:szCs w:val="24"/>
          <w:rtl/>
        </w:rPr>
        <w:t>ורץ במשרד האוצר בתאריך 21 אוגוסט 2012 (</w:t>
      </w:r>
      <w:r w:rsidRPr="002443EF">
        <w:rPr>
          <w:rFonts w:ascii="David" w:hAnsi="David" w:cs="David" w:hint="cs"/>
          <w:b/>
          <w:bCs/>
          <w:sz w:val="24"/>
          <w:szCs w:val="24"/>
          <w:rtl/>
        </w:rPr>
        <w:t xml:space="preserve">נספח </w:t>
      </w:r>
      <w:r w:rsidR="00F25091">
        <w:rPr>
          <w:rFonts w:ascii="David" w:hAnsi="David" w:cs="David" w:hint="cs"/>
          <w:b/>
          <w:bCs/>
          <w:sz w:val="24"/>
          <w:szCs w:val="24"/>
          <w:rtl/>
        </w:rPr>
        <w:t>2</w:t>
      </w:r>
      <w:r>
        <w:rPr>
          <w:rFonts w:ascii="David" w:hAnsi="David" w:cs="David" w:hint="cs"/>
          <w:sz w:val="24"/>
          <w:szCs w:val="24"/>
          <w:rtl/>
        </w:rPr>
        <w:t>). מכתב זה לא הגיע אל התובע.</w:t>
      </w:r>
    </w:p>
    <w:p w14:paraId="414D9BD4" w14:textId="7AFF0677" w:rsidR="002443EF"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לאחר קבלת הקיצבה ומכתבו של מר אהרונוב נוכח התובע לדעת כי קיצבתו חושבה בחסר וכי הוא זכאי לקיצבה גבוהה יותר.</w:t>
      </w:r>
    </w:p>
    <w:p w14:paraId="24A7FF9D" w14:textId="2609CEAC"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מכאן ואילך ועד לשנת 2019 פנה התובע פעמים רבות אל נש"מ ואל הממונה על הגימלאות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האיזורי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001A3B3B"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ובפסק הדין של בית הדין הארצי מיום 12.10.2021 נקבע כי חלקים מערעורו נדחים ואילו חלקים אחרים יחזרו לדיון בבית הדין האיזורי</w:t>
      </w:r>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F25091">
        <w:rPr>
          <w:rFonts w:ascii="David" w:hAnsi="David" w:cs="David" w:hint="cs"/>
          <w:b/>
          <w:bCs/>
          <w:sz w:val="24"/>
          <w:szCs w:val="24"/>
          <w:rtl/>
        </w:rPr>
        <w:t>3</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האיזורי </w:t>
      </w:r>
      <w:r w:rsidR="00A7499F" w:rsidRPr="00D72ED9">
        <w:rPr>
          <w:rFonts w:ascii="David" w:hAnsi="David" w:cs="David"/>
          <w:sz w:val="24"/>
          <w:szCs w:val="24"/>
          <w:rtl/>
        </w:rPr>
        <w:t>הם:</w:t>
      </w:r>
    </w:p>
    <w:p w14:paraId="5EB11ADF" w14:textId="751CC7A2"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 לפי הסכם הבכירים.</w:t>
      </w:r>
    </w:p>
    <w:p w14:paraId="7C206131" w14:textId="13F225C5"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זכאות המערער לדרגת פרישה (ס' 33 של פסה"ד).</w:t>
      </w:r>
    </w:p>
    <w:p w14:paraId="4454DFB6" w14:textId="0939E390"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על פי חוק ההתיישנות היא זו שבדין.</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5AC06568"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כאמור, הנתונים הקובעים את שיעור גימלתו של התובע נקבעו לראשונה במכתבו של מר אהרונוב</w:t>
      </w:r>
      <w:r w:rsidR="00C20DA4">
        <w:rPr>
          <w:rFonts w:ascii="David" w:hAnsi="David" w:cs="David" w:hint="cs"/>
          <w:sz w:val="24"/>
          <w:szCs w:val="24"/>
          <w:rtl/>
        </w:rPr>
        <w:t xml:space="preserve"> מנש"מ</w:t>
      </w:r>
      <w:r>
        <w:rPr>
          <w:rFonts w:ascii="David" w:hAnsi="David" w:cs="David" w:hint="cs"/>
          <w:sz w:val="24"/>
          <w:szCs w:val="24"/>
          <w:rtl/>
        </w:rPr>
        <w:t xml:space="preserve"> אל משרד האוצר ביום 21.8.12</w:t>
      </w:r>
      <w:r w:rsidR="00C20DA4">
        <w:rPr>
          <w:rFonts w:ascii="David" w:hAnsi="David" w:cs="David" w:hint="cs"/>
          <w:sz w:val="24"/>
          <w:szCs w:val="24"/>
          <w:rtl/>
        </w:rPr>
        <w:t xml:space="preserve"> (</w:t>
      </w:r>
      <w:r w:rsidR="00C20DA4">
        <w:rPr>
          <w:rFonts w:ascii="David" w:hAnsi="David" w:cs="David" w:hint="cs"/>
          <w:b/>
          <w:bCs/>
          <w:sz w:val="24"/>
          <w:szCs w:val="24"/>
          <w:rtl/>
        </w:rPr>
        <w:t>נספח 2</w:t>
      </w:r>
      <w:r w:rsidR="00C20DA4">
        <w:rPr>
          <w:rFonts w:ascii="David" w:hAnsi="David" w:cs="David" w:hint="cs"/>
          <w:sz w:val="24"/>
          <w:szCs w:val="24"/>
          <w:rtl/>
        </w:rPr>
        <w:t>)</w:t>
      </w:r>
      <w:r>
        <w:rPr>
          <w:rFonts w:ascii="David" w:hAnsi="David" w:cs="David" w:hint="cs"/>
          <w:sz w:val="24"/>
          <w:szCs w:val="24"/>
          <w:rtl/>
        </w:rPr>
        <w:t>.</w:t>
      </w:r>
    </w:p>
    <w:p w14:paraId="5D1B2B39" w14:textId="37A0ADD8"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lastRenderedPageBreak/>
        <w:t xml:space="preserve">מכתב זה היה הבסיס והיסוד לכל ההחלטות </w:t>
      </w:r>
      <w:r w:rsidR="00C20DA4">
        <w:rPr>
          <w:rFonts w:ascii="David" w:hAnsi="David" w:cs="David" w:hint="cs"/>
          <w:sz w:val="24"/>
          <w:szCs w:val="24"/>
          <w:rtl/>
        </w:rPr>
        <w:t xml:space="preserve">והחישובים שקבע </w:t>
      </w:r>
      <w:r>
        <w:rPr>
          <w:rFonts w:ascii="David" w:hAnsi="David" w:cs="David" w:hint="cs"/>
          <w:sz w:val="24"/>
          <w:szCs w:val="24"/>
          <w:rtl/>
        </w:rPr>
        <w:t>בהמשך הממונה על הגימלאות ובהתאם לנתוני</w:t>
      </w:r>
      <w:r w:rsidR="00C20DA4">
        <w:rPr>
          <w:rFonts w:ascii="David" w:hAnsi="David" w:cs="David" w:hint="cs"/>
          <w:sz w:val="24"/>
          <w:szCs w:val="24"/>
          <w:rtl/>
        </w:rPr>
        <w:t xml:space="preserve"> נש"מ</w:t>
      </w:r>
      <w:r>
        <w:rPr>
          <w:rFonts w:ascii="David" w:hAnsi="David" w:cs="David" w:hint="cs"/>
          <w:sz w:val="24"/>
          <w:szCs w:val="24"/>
          <w:rtl/>
        </w:rPr>
        <w:t xml:space="preserve"> חושבה ושולמה מאז גימלתו.</w:t>
      </w:r>
    </w:p>
    <w:p w14:paraId="2A3A0DA3" w14:textId="5D56F035"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מכתבו של מר אהרונוב הוא גם מוקד השגותיו של התובע על דרך חישוב גימלתו. התובע חולק על קביעתו (ס' 3) כי המשכורת הקובעת תהיה עפ"י דרגה 44+ וכן על נוסחת החישוב שנרשמה בס' 4.</w:t>
      </w:r>
    </w:p>
    <w:p w14:paraId="6822AA03" w14:textId="53409A18"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משמעות לשאלת התיישנות תביעתו. מן המכתב ומהצעדים וההתכתבויות בעקבותיו עולה בבירור כי זכויות התובע נקבעו ונוסחו על ידי נציב שירות המדינה וכי תקופת ההתיישנות של תביעתו צרכה להיקבע על פי נתון ראשוני זה.</w:t>
      </w:r>
    </w:p>
    <w:p w14:paraId="70647F28" w14:textId="6517E201"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מסקנה זו מתאשרת גם במכתבה של הגב' חנה שוורץ, מנהלת תחום הגימלאות בחשב הכללי, מיום 10 דצמבר 2012, שבו היא מציינת בס' 1 ואף מדגישה כי קיצבת הפרישה עפ"י ס' 20 לחוק, בשיעור של 70% מהמשכורת הקובעת של חוזה בכירים, בהתאם לאישור נש"מ מיום 21.8.2012 ... (</w:t>
      </w:r>
      <w:r w:rsidRPr="00C80962">
        <w:rPr>
          <w:rFonts w:ascii="David" w:hAnsi="David" w:cs="David" w:hint="cs"/>
          <w:b/>
          <w:bCs/>
          <w:sz w:val="24"/>
          <w:szCs w:val="24"/>
          <w:rtl/>
        </w:rPr>
        <w:t xml:space="preserve">נספח </w:t>
      </w:r>
      <w:r w:rsidR="006C1520">
        <w:rPr>
          <w:rFonts w:ascii="David" w:hAnsi="David" w:cs="David" w:hint="cs"/>
          <w:b/>
          <w:bCs/>
          <w:sz w:val="24"/>
          <w:szCs w:val="24"/>
          <w:rtl/>
        </w:rPr>
        <w:t>2</w:t>
      </w:r>
      <w:r>
        <w:rPr>
          <w:rFonts w:ascii="David" w:hAnsi="David" w:cs="David" w:hint="cs"/>
          <w:sz w:val="24"/>
          <w:szCs w:val="24"/>
          <w:rtl/>
        </w:rPr>
        <w:t>) כלומר מכתבו של מר אהרונוב הוא הבסיס להליכים שנקט הממונה על הגימלאות.</w:t>
      </w:r>
    </w:p>
    <w:p w14:paraId="65E425AE" w14:textId="040A0A33"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התובע חולק על האמור בס' 3 של המכתב שקבע כי משכורתו עד לתאריך 31.3.1990 תהיה עפ"י דרגה 44+. התובע סבור כי היה צורך לקבוע שדרגת הפרישה היא 46+ שהיא הדרגה העליונה בשיא הותק.</w:t>
      </w:r>
    </w:p>
    <w:p w14:paraId="10360C4A" w14:textId="1A856809" w:rsidR="00EF6047" w:rsidRDefault="00EF6047" w:rsidP="00EF6047">
      <w:pPr>
        <w:spacing w:after="0" w:line="360" w:lineRule="auto"/>
        <w:jc w:val="both"/>
        <w:rPr>
          <w:rFonts w:ascii="David" w:hAnsi="David" w:cs="David"/>
          <w:sz w:val="24"/>
          <w:szCs w:val="24"/>
          <w:rtl/>
        </w:rPr>
      </w:pPr>
    </w:p>
    <w:p w14:paraId="6CD1DDB9" w14:textId="77777777" w:rsidR="00EF6047" w:rsidRPr="00EF6047" w:rsidRDefault="00EF6047" w:rsidP="00EF6047">
      <w:pPr>
        <w:pStyle w:val="a3"/>
        <w:spacing w:after="0" w:line="360" w:lineRule="auto"/>
        <w:ind w:left="444"/>
        <w:jc w:val="both"/>
        <w:rPr>
          <w:rFonts w:ascii="David" w:hAnsi="David" w:cs="David"/>
          <w:b/>
          <w:bCs/>
          <w:sz w:val="24"/>
          <w:szCs w:val="24"/>
          <w:u w:val="single"/>
        </w:rPr>
      </w:pPr>
      <w:r>
        <w:rPr>
          <w:rFonts w:ascii="David" w:hAnsi="David" w:cs="David" w:hint="cs"/>
          <w:b/>
          <w:bCs/>
          <w:sz w:val="24"/>
          <w:szCs w:val="24"/>
          <w:u w:val="single"/>
          <w:rtl/>
        </w:rPr>
        <w:t>ואלה נימוקי התביעה:</w:t>
      </w:r>
    </w:p>
    <w:p w14:paraId="27071A66" w14:textId="2D6919E8" w:rsidR="001B0264" w:rsidRDefault="00EF6047"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r w:rsidR="001B0264">
        <w:rPr>
          <w:rFonts w:ascii="David" w:hAnsi="David" w:cs="David" w:hint="cs"/>
          <w:sz w:val="24"/>
          <w:szCs w:val="24"/>
          <w:rtl/>
        </w:rPr>
        <w:t>ס' 12א' בהסכם הבכירים עליו חתם התובע (</w:t>
      </w:r>
      <w:r w:rsidR="001B0264" w:rsidRPr="001B0264">
        <w:rPr>
          <w:rFonts w:ascii="David" w:hAnsi="David" w:cs="David" w:hint="cs"/>
          <w:b/>
          <w:bCs/>
          <w:sz w:val="24"/>
          <w:szCs w:val="24"/>
          <w:rtl/>
        </w:rPr>
        <w:t xml:space="preserve">נספח </w:t>
      </w:r>
      <w:r>
        <w:rPr>
          <w:rFonts w:ascii="David" w:hAnsi="David" w:cs="David" w:hint="cs"/>
          <w:b/>
          <w:bCs/>
          <w:sz w:val="24"/>
          <w:szCs w:val="24"/>
          <w:rtl/>
        </w:rPr>
        <w:t>1</w:t>
      </w:r>
      <w:r w:rsidR="00C80962">
        <w:rPr>
          <w:rFonts w:ascii="David" w:hAnsi="David" w:cs="David" w:hint="cs"/>
          <w:b/>
          <w:bCs/>
          <w:sz w:val="24"/>
          <w:szCs w:val="24"/>
          <w:rtl/>
        </w:rPr>
        <w:t>)</w:t>
      </w:r>
      <w:r w:rsidRPr="00EF6047">
        <w:rPr>
          <w:rFonts w:ascii="David" w:hAnsi="David" w:cs="David" w:hint="cs"/>
          <w:sz w:val="24"/>
          <w:szCs w:val="24"/>
          <w:rtl/>
        </w:rPr>
        <w:t xml:space="preserve"> </w:t>
      </w:r>
      <w:r>
        <w:rPr>
          <w:rFonts w:ascii="David" w:hAnsi="David" w:cs="David" w:hint="cs"/>
          <w:sz w:val="24"/>
          <w:szCs w:val="24"/>
          <w:rtl/>
        </w:rPr>
        <w:t>(צוטט בפסה"ד של ביה"ד הארצי בע' 7)</w:t>
      </w:r>
      <w:r>
        <w:rPr>
          <w:rFonts w:ascii="David" w:hAnsi="David" w:cs="David" w:hint="cs"/>
          <w:b/>
          <w:bCs/>
          <w:sz w:val="24"/>
          <w:szCs w:val="24"/>
          <w:rtl/>
        </w:rPr>
        <w:t>,</w:t>
      </w:r>
      <w:r w:rsidR="00C80962">
        <w:rPr>
          <w:rFonts w:ascii="David" w:hAnsi="David" w:cs="David" w:hint="cs"/>
          <w:b/>
          <w:bCs/>
          <w:sz w:val="24"/>
          <w:szCs w:val="24"/>
          <w:rtl/>
        </w:rPr>
        <w:t xml:space="preserve"> </w:t>
      </w:r>
      <w:r w:rsidR="001B0264">
        <w:rPr>
          <w:rFonts w:ascii="David" w:hAnsi="David" w:cs="David" w:hint="cs"/>
          <w:sz w:val="24"/>
          <w:szCs w:val="24"/>
          <w:rtl/>
        </w:rPr>
        <w:t>נכתב כי לעובד היתה דרגה 12 בעת חתימתו על ההסכם, דרגה שהיתה אחת לפני השיא.</w:t>
      </w:r>
    </w:p>
    <w:p w14:paraId="64F1ABD3" w14:textId="5D0FC64B" w:rsidR="0037502D" w:rsidRPr="00C80962" w:rsidRDefault="001B0264"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 xml:space="preserve">בעת פרישתו כבר לא היתה קיימת דרגה 12 ובסולם הדרגות הדרגה שלפני </w:t>
      </w:r>
      <w:r w:rsidR="0037502D" w:rsidRPr="00C80962">
        <w:rPr>
          <w:rFonts w:ascii="David" w:hAnsi="David" w:cs="David" w:hint="cs"/>
          <w:sz w:val="24"/>
          <w:szCs w:val="24"/>
          <w:rtl/>
        </w:rPr>
        <w:t>היתה 45, אולם בעת פרישתו כבר היה התובע בתפקיד "חשב בכיר" ובהתאם לס' 12 א' 2 ב' של הסכם הבכירים היה זכאי לתקן של "דרגת שיא" "</w:t>
      </w:r>
      <w:r w:rsidR="0037502D" w:rsidRPr="00C80962">
        <w:rPr>
          <w:rFonts w:ascii="David" w:hAnsi="David" w:cs="David" w:hint="cs"/>
          <w:b/>
          <w:bCs/>
          <w:sz w:val="24"/>
          <w:szCs w:val="24"/>
          <w:rtl/>
        </w:rPr>
        <w:t>כפי שיהיה ערב פרישתו מהשירות</w:t>
      </w:r>
      <w:r w:rsidR="0037502D" w:rsidRPr="00C80962">
        <w:rPr>
          <w:rFonts w:ascii="David" w:hAnsi="David" w:cs="David" w:hint="cs"/>
          <w:sz w:val="24"/>
          <w:szCs w:val="24"/>
          <w:rtl/>
        </w:rPr>
        <w:t>".</w:t>
      </w:r>
      <w:r w:rsidR="00C80962">
        <w:rPr>
          <w:rFonts w:ascii="David" w:hAnsi="David" w:cs="David" w:hint="cs"/>
          <w:sz w:val="24"/>
          <w:szCs w:val="24"/>
          <w:rtl/>
        </w:rPr>
        <w:t xml:space="preserve"> דרגת השיא בעת פרישתו מהשירות ובהתאם לתפקידו היתה 46+. </w:t>
      </w:r>
    </w:p>
    <w:p w14:paraId="7B7581C4" w14:textId="20B42547"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להשלמת טענה זו יוסיף התובע את העובדה שבכל תלושי המשכורת שלו בתקופת "הסכם הבכירים" בטור "נתוני עזר" "ברוטו לכתב מינוי" והסכום הרשום היה בהתאם לס' 46+. בנוסף ניכו משכרו 2% השתתפות במימון הוצאות פנסיה, ו</w:t>
      </w:r>
      <w:r w:rsidR="00C80962">
        <w:rPr>
          <w:rFonts w:ascii="David" w:hAnsi="David" w:cs="David" w:hint="cs"/>
          <w:sz w:val="24"/>
          <w:szCs w:val="24"/>
          <w:rtl/>
        </w:rPr>
        <w:t xml:space="preserve">גם </w:t>
      </w:r>
      <w:r>
        <w:rPr>
          <w:rFonts w:ascii="David" w:hAnsi="David" w:cs="David" w:hint="cs"/>
          <w:sz w:val="24"/>
          <w:szCs w:val="24"/>
          <w:rtl/>
        </w:rPr>
        <w:t>ניכוי זה נעשה לפי דרגה 46+ בשיא הותק</w:t>
      </w:r>
      <w:r w:rsidR="00C80962">
        <w:rPr>
          <w:rFonts w:ascii="David" w:hAnsi="David" w:cs="David" w:hint="cs"/>
          <w:sz w:val="24"/>
          <w:szCs w:val="24"/>
          <w:rtl/>
        </w:rPr>
        <w:t xml:space="preserve"> (</w:t>
      </w:r>
      <w:r w:rsidR="00C80962" w:rsidRPr="00C80962">
        <w:rPr>
          <w:rFonts w:ascii="David" w:hAnsi="David" w:cs="David" w:hint="cs"/>
          <w:b/>
          <w:bCs/>
          <w:sz w:val="24"/>
          <w:szCs w:val="24"/>
          <w:rtl/>
        </w:rPr>
        <w:t xml:space="preserve">נספח </w:t>
      </w:r>
      <w:r w:rsidR="00C80962">
        <w:rPr>
          <w:rFonts w:ascii="David" w:hAnsi="David" w:cs="David" w:hint="cs"/>
          <w:b/>
          <w:bCs/>
          <w:sz w:val="24"/>
          <w:szCs w:val="24"/>
          <w:rtl/>
        </w:rPr>
        <w:t>5</w:t>
      </w:r>
      <w:r w:rsidR="00C80962" w:rsidRPr="00C80962">
        <w:rPr>
          <w:rFonts w:ascii="David" w:hAnsi="David" w:cs="David" w:hint="cs"/>
          <w:b/>
          <w:bCs/>
          <w:sz w:val="24"/>
          <w:szCs w:val="24"/>
          <w:rtl/>
        </w:rPr>
        <w:t xml:space="preserve"> </w:t>
      </w:r>
      <w:r w:rsidR="006C1520">
        <w:rPr>
          <w:rFonts w:ascii="David" w:hAnsi="David" w:cs="David" w:hint="cs"/>
          <w:b/>
          <w:bCs/>
          <w:sz w:val="24"/>
          <w:szCs w:val="24"/>
          <w:rtl/>
        </w:rPr>
        <w:t xml:space="preserve">- </w:t>
      </w:r>
      <w:r w:rsidR="00C80962" w:rsidRPr="00C80962">
        <w:rPr>
          <w:rFonts w:ascii="David" w:hAnsi="David" w:cs="David" w:hint="cs"/>
          <w:b/>
          <w:bCs/>
          <w:sz w:val="24"/>
          <w:szCs w:val="24"/>
          <w:rtl/>
        </w:rPr>
        <w:t>תלוש שכר מחודש ...</w:t>
      </w:r>
      <w:r w:rsidRPr="00C80962">
        <w:rPr>
          <w:rFonts w:ascii="David" w:hAnsi="David" w:cs="David" w:hint="cs"/>
          <w:b/>
          <w:bCs/>
          <w:sz w:val="24"/>
          <w:szCs w:val="24"/>
          <w:rtl/>
        </w:rPr>
        <w:t>.</w:t>
      </w:r>
      <w:r w:rsidR="00C80962">
        <w:rPr>
          <w:rFonts w:ascii="David" w:hAnsi="David" w:cs="David" w:hint="cs"/>
          <w:sz w:val="24"/>
          <w:szCs w:val="24"/>
          <w:rtl/>
        </w:rPr>
        <w:t>)</w:t>
      </w:r>
    </w:p>
    <w:p w14:paraId="00C62CA0" w14:textId="7C4DBECD" w:rsidR="0037502D" w:rsidRPr="00C80962" w:rsidRDefault="0037502D" w:rsidP="00C80962">
      <w:pPr>
        <w:spacing w:after="0" w:line="360" w:lineRule="auto"/>
        <w:ind w:left="444"/>
        <w:jc w:val="both"/>
        <w:rPr>
          <w:rFonts w:ascii="David" w:hAnsi="David" w:cs="David"/>
          <w:sz w:val="24"/>
          <w:szCs w:val="24"/>
        </w:rPr>
      </w:pPr>
      <w:r w:rsidRPr="00C80962">
        <w:rPr>
          <w:rFonts w:ascii="David" w:hAnsi="David" w:cs="David" w:hint="cs"/>
          <w:sz w:val="24"/>
          <w:szCs w:val="24"/>
          <w:rtl/>
        </w:rPr>
        <w:t>כדי להוכיח את מעמדו של התובע כ"חשב בכיר" מצ"ב מכתב של המשנה לנציב שירות המדינה מתאריך 24.1.2005 המאשר את זכויות הובע כ"חשב בכיר" לכל דבר ועניין (</w:t>
      </w:r>
      <w:r w:rsidRPr="00C80962">
        <w:rPr>
          <w:rFonts w:ascii="David" w:hAnsi="David" w:cs="David" w:hint="cs"/>
          <w:b/>
          <w:bCs/>
          <w:sz w:val="24"/>
          <w:szCs w:val="24"/>
          <w:rtl/>
        </w:rPr>
        <w:t xml:space="preserve">נספח </w:t>
      </w:r>
      <w:r w:rsidR="00C80962">
        <w:rPr>
          <w:rFonts w:ascii="David" w:hAnsi="David" w:cs="David" w:hint="cs"/>
          <w:b/>
          <w:bCs/>
          <w:sz w:val="24"/>
          <w:szCs w:val="24"/>
          <w:rtl/>
        </w:rPr>
        <w:t>6</w:t>
      </w:r>
      <w:r w:rsidRPr="00C80962">
        <w:rPr>
          <w:rFonts w:ascii="David" w:hAnsi="David" w:cs="David" w:hint="cs"/>
          <w:sz w:val="24"/>
          <w:szCs w:val="24"/>
          <w:rtl/>
        </w:rPr>
        <w:t>).</w:t>
      </w:r>
    </w:p>
    <w:p w14:paraId="686CD8CF" w14:textId="372A4A49"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בס' 4 של מכתבו של מר אהרונוב מפורטת בטבלה שיטת חישוב הגימ</w:t>
      </w:r>
      <w:r w:rsidR="00C80962">
        <w:rPr>
          <w:rFonts w:ascii="David" w:hAnsi="David" w:cs="David" w:hint="cs"/>
          <w:sz w:val="24"/>
          <w:szCs w:val="24"/>
          <w:rtl/>
        </w:rPr>
        <w:t>ל</w:t>
      </w:r>
      <w:r>
        <w:rPr>
          <w:rFonts w:ascii="David" w:hAnsi="David" w:cs="David" w:hint="cs"/>
          <w:sz w:val="24"/>
          <w:szCs w:val="24"/>
          <w:rtl/>
        </w:rPr>
        <w:t>ה של התובע "</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כלומר מחושב ממוצע בין המשכורת בתקופת המינוי לבין המשכורת בתקופת ההסכם. הוראה זו של נש"מ עומדת בניגוד מוחלט להוראת ס' 12ב' בהסכם הבכירים הקובעת: "</w:t>
      </w:r>
      <w:r>
        <w:rPr>
          <w:rFonts w:ascii="David" w:hAnsi="David" w:cs="David" w:hint="cs"/>
          <w:b/>
          <w:bCs/>
          <w:sz w:val="24"/>
          <w:szCs w:val="24"/>
          <w:rtl/>
        </w:rPr>
        <w:t>המשכורת הקובעת שעל בסיסה תשולם קיצבתו של העובד עבור תקופת עבודה בחוזה מיוחד זה, תהיה המשכורת הכוללת לפי ס' 6 לעיל וכפי שתעודכן לפי ס' 8 לעיל"</w:t>
      </w:r>
      <w:r>
        <w:rPr>
          <w:rFonts w:ascii="David" w:hAnsi="David" w:cs="David" w:hint="cs"/>
          <w:sz w:val="24"/>
          <w:szCs w:val="24"/>
          <w:rtl/>
        </w:rPr>
        <w:t xml:space="preserve">. </w:t>
      </w:r>
    </w:p>
    <w:p w14:paraId="2181EFFD" w14:textId="6B993B80"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התובע עבד 20.3 שנים בכתב מינוי ו-22.3 שנים בהסכם בכירים. שיטת החישוב במכתבו של מר אהרונוב מנש"מ </w:t>
      </w:r>
      <w:r w:rsidR="00FB67D0">
        <w:rPr>
          <w:rFonts w:ascii="David" w:hAnsi="David" w:cs="David" w:hint="cs"/>
          <w:sz w:val="24"/>
          <w:szCs w:val="24"/>
          <w:rtl/>
        </w:rPr>
        <w:t>מקנה ערך שנים כמעט שווה לתקופת המינוי ולתקופת ההסכם.</w:t>
      </w:r>
    </w:p>
    <w:p w14:paraId="64EF7910" w14:textId="6C007BB8" w:rsidR="00FB67D0" w:rsidRDefault="00FB67D0" w:rsidP="00512CA9">
      <w:pPr>
        <w:spacing w:after="0" w:line="360" w:lineRule="auto"/>
        <w:ind w:left="444"/>
        <w:jc w:val="both"/>
        <w:rPr>
          <w:rFonts w:ascii="David" w:hAnsi="David" w:cs="David"/>
          <w:sz w:val="24"/>
          <w:szCs w:val="24"/>
          <w:rtl/>
        </w:rPr>
      </w:pPr>
      <w:r w:rsidRPr="00C80962">
        <w:rPr>
          <w:rFonts w:ascii="David" w:hAnsi="David" w:cs="David" w:hint="cs"/>
          <w:sz w:val="24"/>
          <w:szCs w:val="24"/>
          <w:rtl/>
        </w:rPr>
        <w:lastRenderedPageBreak/>
        <w:t>לבקשת התובע קיבל מכתב ממי שהיה סגן ראש מינהל הסגל בנש"מ מר יוסי יהודה, המפרט כיצד היה צריך לחשב את זכויות הגימלה וממנו עולה כי את תקופת ההסכם יש לחשב "</w:t>
      </w:r>
      <w:r w:rsidRPr="00C80962">
        <w:rPr>
          <w:rFonts w:ascii="David" w:hAnsi="David" w:cs="David" w:hint="cs"/>
          <w:b/>
          <w:bCs/>
          <w:sz w:val="24"/>
          <w:szCs w:val="24"/>
          <w:rtl/>
        </w:rPr>
        <w:t xml:space="preserve">על כל תקופת העבודה </w:t>
      </w:r>
      <w:r w:rsidRPr="00C80962">
        <w:rPr>
          <w:rFonts w:ascii="David" w:hAnsi="David" w:cs="David" w:hint="cs"/>
          <w:b/>
          <w:bCs/>
          <w:sz w:val="24"/>
          <w:szCs w:val="24"/>
          <w:u w:val="single"/>
          <w:rtl/>
        </w:rPr>
        <w:t>בחוזה</w:t>
      </w:r>
      <w:r w:rsidR="00EB2DFE" w:rsidRPr="00C80962">
        <w:rPr>
          <w:rFonts w:ascii="David" w:hAnsi="David" w:cs="David" w:hint="cs"/>
          <w:b/>
          <w:bCs/>
          <w:sz w:val="24"/>
          <w:szCs w:val="24"/>
          <w:rtl/>
        </w:rPr>
        <w:t xml:space="preserve"> ללא שיקלול כלשהו (ס' 12 לחוזה) (נספח </w:t>
      </w:r>
      <w:r w:rsidR="00B543C0">
        <w:rPr>
          <w:rFonts w:ascii="David" w:hAnsi="David" w:cs="David" w:hint="cs"/>
          <w:b/>
          <w:bCs/>
          <w:sz w:val="24"/>
          <w:szCs w:val="24"/>
          <w:rtl/>
        </w:rPr>
        <w:t>7</w:t>
      </w:r>
      <w:r w:rsidR="00EB2DFE" w:rsidRPr="00C80962">
        <w:rPr>
          <w:rFonts w:ascii="David" w:hAnsi="David" w:cs="David" w:hint="cs"/>
          <w:b/>
          <w:bCs/>
          <w:sz w:val="24"/>
          <w:szCs w:val="24"/>
          <w:rtl/>
        </w:rPr>
        <w:t>)</w:t>
      </w:r>
      <w:r w:rsidR="00EB2DFE" w:rsidRPr="00C80962">
        <w:rPr>
          <w:rFonts w:ascii="David" w:hAnsi="David" w:cs="David" w:hint="cs"/>
          <w:sz w:val="24"/>
          <w:szCs w:val="24"/>
          <w:rtl/>
        </w:rPr>
        <w:t>.</w:t>
      </w:r>
    </w:p>
    <w:p w14:paraId="69972712" w14:textId="77777777" w:rsidR="00B543C0" w:rsidRPr="00C80962" w:rsidRDefault="00B543C0" w:rsidP="00C80962">
      <w:pPr>
        <w:spacing w:after="0" w:line="360" w:lineRule="auto"/>
        <w:ind w:left="360"/>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7D2AFB65" w14:textId="6D184853" w:rsidR="00FB67D0"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מסע הייסורים של התובע החל מיד עם פרישתו ב-31.7.12, כאשר במשך 5 חודשים לא קיבל ... פנסיה. בניגוד לכל נהלי ההוצאה של עובד בתקשיר ובחוק הגמלאות המחייבים הודעה מראש על פרישה, קיבל התובע את "מסמך הפרישה" חצי שנה אחרי פרישתו בפועל.</w:t>
      </w:r>
    </w:p>
    <w:p w14:paraId="579B7DC1" w14:textId="0FC3E03B" w:rsidR="00EB2DFE" w:rsidRPr="00C80962" w:rsidRDefault="00EB2DFE"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מכתבו של מר אהרונוב בעניין פרישתו של התובע (</w:t>
      </w:r>
      <w:r w:rsidRPr="00C80962">
        <w:rPr>
          <w:rFonts w:ascii="David" w:hAnsi="David" w:cs="David" w:hint="cs"/>
          <w:b/>
          <w:bCs/>
          <w:sz w:val="24"/>
          <w:szCs w:val="24"/>
          <w:rtl/>
        </w:rPr>
        <w:t xml:space="preserve">נספח </w:t>
      </w:r>
      <w:r w:rsidR="00B543C0">
        <w:rPr>
          <w:rFonts w:ascii="David" w:hAnsi="David" w:cs="David" w:hint="cs"/>
          <w:b/>
          <w:bCs/>
          <w:sz w:val="24"/>
          <w:szCs w:val="24"/>
          <w:rtl/>
        </w:rPr>
        <w:t>2</w:t>
      </w:r>
      <w:r w:rsidRPr="00C80962">
        <w:rPr>
          <w:rFonts w:ascii="David" w:hAnsi="David" w:cs="David" w:hint="cs"/>
          <w:b/>
          <w:bCs/>
          <w:sz w:val="24"/>
          <w:szCs w:val="24"/>
          <w:rtl/>
        </w:rPr>
        <w:t xml:space="preserve">) </w:t>
      </w:r>
      <w:r w:rsidRPr="00C80962">
        <w:rPr>
          <w:rFonts w:ascii="David" w:hAnsi="David" w:cs="David" w:hint="cs"/>
          <w:sz w:val="24"/>
          <w:szCs w:val="24"/>
          <w:rtl/>
        </w:rPr>
        <w:t xml:space="preserve">נשלח למשרד האוצר ולא לממונה על הגמלאות בתאריך 21.8.12. </w:t>
      </w:r>
    </w:p>
    <w:p w14:paraId="4869CCF5" w14:textId="42FCEF0E" w:rsidR="0068674C" w:rsidRPr="00C80962" w:rsidRDefault="0068674C"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המכתב הגיע אל התובע רק לאחר שפנה אל הממונה על הגימלאות בחודש ינואר 2013. את ההודעה הרשמית ממנהל הגמלאות קיבל רק בדצמבר 2012 ונאמר בה בס' 1 כי יקבל 70% מהמשכורת הקובעת על פי הסכם הבכירים (</w:t>
      </w:r>
      <w:r w:rsidRPr="00C80962">
        <w:rPr>
          <w:rFonts w:ascii="David" w:hAnsi="David" w:cs="David" w:hint="cs"/>
          <w:b/>
          <w:bCs/>
          <w:sz w:val="24"/>
          <w:szCs w:val="24"/>
          <w:rtl/>
        </w:rPr>
        <w:t xml:space="preserve">נספח </w:t>
      </w:r>
      <w:r w:rsidR="00B543C0">
        <w:rPr>
          <w:rFonts w:ascii="David" w:hAnsi="David" w:cs="David" w:hint="cs"/>
          <w:b/>
          <w:bCs/>
          <w:sz w:val="24"/>
          <w:szCs w:val="24"/>
          <w:rtl/>
        </w:rPr>
        <w:t>8</w:t>
      </w:r>
      <w:r w:rsidRPr="00C80962">
        <w:rPr>
          <w:rFonts w:ascii="David" w:hAnsi="David" w:cs="David" w:hint="cs"/>
          <w:sz w:val="24"/>
          <w:szCs w:val="24"/>
          <w:rtl/>
        </w:rPr>
        <w:t>).</w:t>
      </w:r>
    </w:p>
    <w:p w14:paraId="1C59DD48" w14:textId="4CC71297"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הטיפול בגימלתו של התובע החל בפועל בדצמבר 2012. ב-8 ינואר 2013 כתב התובע למר אהרונוב והעלה השגות על חישוב זכויותיו במכתבו. לאחר מספר שיחות טלפוניות כתב התובע שוב לאהרונוב ב-20.3.2013. ההתכתבות בין הובע לנש"מ נמשכה עד שנת 2017</w:t>
      </w:r>
      <w:r w:rsidR="00B543C0">
        <w:rPr>
          <w:rFonts w:ascii="David" w:hAnsi="David" w:cs="David" w:hint="cs"/>
          <w:sz w:val="24"/>
          <w:szCs w:val="24"/>
          <w:rtl/>
        </w:rPr>
        <w:t>.</w:t>
      </w:r>
      <w:r>
        <w:rPr>
          <w:rFonts w:ascii="David" w:hAnsi="David" w:cs="David" w:hint="cs"/>
          <w:sz w:val="24"/>
          <w:szCs w:val="24"/>
          <w:rtl/>
        </w:rPr>
        <w:t xml:space="preserve"> כל הפניות לפגישה או לבירור נענו בשלילה, עד אשר הגיש התובע את תביעתו לבית הדין האיזורי ב-3.10.2019.</w:t>
      </w:r>
    </w:p>
    <w:p w14:paraId="0C20F7F6" w14:textId="359F9B30"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תשובת הרשויות השונות לפניות של התובע במשך למעלה מארבע שנים:</w:t>
      </w:r>
    </w:p>
    <w:p w14:paraId="47114718" w14:textId="417F4966"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כותר מר ציון לוי, מנהל אגף בכיר לגימלאות בנש"מ: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"הנושא הפנסיוני שלך נמצא בבדיקה עקרונית... עד אשר תסתיים הבדיקה נידרש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מנש"מ: </w:t>
      </w:r>
      <w:r>
        <w:rPr>
          <w:rFonts w:ascii="David" w:hAnsi="David" w:cs="David" w:hint="cs"/>
          <w:b/>
          <w:bCs/>
          <w:sz w:val="24"/>
          <w:szCs w:val="24"/>
          <w:rtl/>
        </w:rPr>
        <w:t>"מבצעים חשיבה מחודשת... שבסיומה נשוב ונודיעך".</w:t>
      </w:r>
    </w:p>
    <w:p w14:paraId="198989C7" w14:textId="4E1E7FAE"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 15.2.15 כותבת עו"ד עליזה אבן, מהלשכה המשפטית של נש"מ (בתיאום על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2087C503"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עו"ד ר. דול,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5DB5CF1B"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מתמחקות אלה ולדחייה של הטיפול בפניות התובע משמעות גם לנושא ההתיישבנות. אף אם מניחים שההתיישנות אורכה בהתאם לחוק הגימלאות 60 יום, הרי העיכובים בתשלום הגימלה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על יסוד הטענות שפורטו בכתב תביעה זה מתבקש כב' בית הדין ליתן לתובע את הסעדים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A79D947" w14:textId="7132F7FE"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לקבוע כי התובע זכאי היה החל ממועד פרישתו לקבל גימלה על כל תקופת עבודתו בחוזה בכירים לפי דרגה של 46+ וגימלה על יתרת שנות עבודתו על פי מינוי.</w:t>
      </w:r>
    </w:p>
    <w:p w14:paraId="4B60AFE7" w14:textId="44F5703D"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וכי הפרשי השכר על השנים מאז פרישתו ישוערכו לפי זכאותו הנוכחית לגימלה.</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בית הדין הנכבד מתבקש לקבוע כי על הטיפול הרשלני והממושך בזכויותיו של התובע לגימלה ישולם לו פיצוי בשיעור של 150,000 ₪.</w:t>
      </w:r>
    </w:p>
    <w:p w14:paraId="0CB36876" w14:textId="71550B0B"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עו"ד יעקב חסדאי</w:t>
      </w:r>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9CB1B" w14:textId="77777777" w:rsidR="00070292" w:rsidRDefault="00070292" w:rsidP="00F25091">
      <w:pPr>
        <w:spacing w:after="0" w:line="240" w:lineRule="auto"/>
      </w:pPr>
      <w:r>
        <w:separator/>
      </w:r>
    </w:p>
  </w:endnote>
  <w:endnote w:type="continuationSeparator" w:id="0">
    <w:p w14:paraId="3986FE6B" w14:textId="77777777" w:rsidR="00070292" w:rsidRDefault="00070292"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sidR="00570C32" w:rsidRPr="00570C32">
          <w:rPr>
            <w:noProof/>
            <w:rtl/>
            <w:lang w:val="he-IL"/>
          </w:rPr>
          <w:t>1</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3C2AF" w14:textId="77777777" w:rsidR="00070292" w:rsidRDefault="00070292" w:rsidP="00F25091">
      <w:pPr>
        <w:spacing w:after="0" w:line="240" w:lineRule="auto"/>
      </w:pPr>
      <w:r>
        <w:separator/>
      </w:r>
    </w:p>
  </w:footnote>
  <w:footnote w:type="continuationSeparator" w:id="0">
    <w:p w14:paraId="331E042F" w14:textId="77777777" w:rsidR="00070292" w:rsidRDefault="00070292"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5"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6"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7"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562256612">
    <w:abstractNumId w:val="1"/>
  </w:num>
  <w:num w:numId="2" w16cid:durableId="2062945314">
    <w:abstractNumId w:val="3"/>
  </w:num>
  <w:num w:numId="3" w16cid:durableId="155458809">
    <w:abstractNumId w:val="2"/>
  </w:num>
  <w:num w:numId="4" w16cid:durableId="695232611">
    <w:abstractNumId w:val="8"/>
  </w:num>
  <w:num w:numId="5" w16cid:durableId="1090082949">
    <w:abstractNumId w:val="7"/>
  </w:num>
  <w:num w:numId="6" w16cid:durableId="738747176">
    <w:abstractNumId w:val="0"/>
  </w:num>
  <w:num w:numId="7" w16cid:durableId="523401867">
    <w:abstractNumId w:val="6"/>
  </w:num>
  <w:num w:numId="8" w16cid:durableId="291325618">
    <w:abstractNumId w:val="5"/>
  </w:num>
  <w:num w:numId="9" w16cid:durableId="1373381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D3E"/>
    <w:rsid w:val="0002250F"/>
    <w:rsid w:val="00070292"/>
    <w:rsid w:val="00096B4A"/>
    <w:rsid w:val="000F4B53"/>
    <w:rsid w:val="000F4D9F"/>
    <w:rsid w:val="0011087B"/>
    <w:rsid w:val="0017773A"/>
    <w:rsid w:val="001A1C3A"/>
    <w:rsid w:val="001B0264"/>
    <w:rsid w:val="00202AA5"/>
    <w:rsid w:val="002443EF"/>
    <w:rsid w:val="00275773"/>
    <w:rsid w:val="003068D2"/>
    <w:rsid w:val="0037502D"/>
    <w:rsid w:val="00443EA4"/>
    <w:rsid w:val="0049742E"/>
    <w:rsid w:val="004B773C"/>
    <w:rsid w:val="004F210A"/>
    <w:rsid w:val="00512CA9"/>
    <w:rsid w:val="005378D5"/>
    <w:rsid w:val="00547A54"/>
    <w:rsid w:val="00570C32"/>
    <w:rsid w:val="00607998"/>
    <w:rsid w:val="00611144"/>
    <w:rsid w:val="00623714"/>
    <w:rsid w:val="00627709"/>
    <w:rsid w:val="0068674C"/>
    <w:rsid w:val="006A4DE7"/>
    <w:rsid w:val="006C1520"/>
    <w:rsid w:val="007074DC"/>
    <w:rsid w:val="00762786"/>
    <w:rsid w:val="00914B97"/>
    <w:rsid w:val="009925D4"/>
    <w:rsid w:val="009B5E2F"/>
    <w:rsid w:val="00A619F7"/>
    <w:rsid w:val="00A7499F"/>
    <w:rsid w:val="00A85D54"/>
    <w:rsid w:val="00AD7D3E"/>
    <w:rsid w:val="00B02EB3"/>
    <w:rsid w:val="00B543C0"/>
    <w:rsid w:val="00BD79B1"/>
    <w:rsid w:val="00C20DA4"/>
    <w:rsid w:val="00C435B9"/>
    <w:rsid w:val="00C80962"/>
    <w:rsid w:val="00C84097"/>
    <w:rsid w:val="00CB3C5A"/>
    <w:rsid w:val="00D641D5"/>
    <w:rsid w:val="00D72ED9"/>
    <w:rsid w:val="00DB6C67"/>
    <w:rsid w:val="00DB72EE"/>
    <w:rsid w:val="00DC4E77"/>
    <w:rsid w:val="00E46E88"/>
    <w:rsid w:val="00E80247"/>
    <w:rsid w:val="00E91402"/>
    <w:rsid w:val="00EB2DFE"/>
    <w:rsid w:val="00EF6047"/>
    <w:rsid w:val="00F21892"/>
    <w:rsid w:val="00F25091"/>
    <w:rsid w:val="00F46430"/>
    <w:rsid w:val="00F90EBA"/>
    <w:rsid w:val="00FB67D0"/>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8B476-818E-469E-904E-B115F27F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1520</Words>
  <Characters>7601</Characters>
  <Application>Microsoft Office Word</Application>
  <DocSecurity>0</DocSecurity>
  <Lines>63</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3</cp:revision>
  <cp:lastPrinted>2022-05-15T13:06:00Z</cp:lastPrinted>
  <dcterms:created xsi:type="dcterms:W3CDTF">2022-05-23T03:21:00Z</dcterms:created>
  <dcterms:modified xsi:type="dcterms:W3CDTF">2022-05-23T04:06:00Z</dcterms:modified>
</cp:coreProperties>
</file>